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20F1D6AA" w:rsidR="00DB6B29" w:rsidRPr="00F45CF9" w:rsidRDefault="00205D20" w:rsidP="008C5455">
      <w:pPr>
        <w:jc w:val="center"/>
        <w:rPr>
          <w:b/>
          <w:color w:val="auto"/>
          <w:sz w:val="28"/>
        </w:rPr>
      </w:pPr>
      <w:r w:rsidRPr="00F45CF9">
        <w:rPr>
          <w:b/>
          <w:color w:val="auto"/>
          <w:sz w:val="28"/>
        </w:rPr>
        <w:t xml:space="preserve">Published </w:t>
      </w:r>
      <w:r w:rsidR="00D756E1">
        <w:rPr>
          <w:b/>
          <w:color w:val="auto"/>
          <w:sz w:val="28"/>
        </w:rPr>
        <w:t>April</w:t>
      </w:r>
      <w:r w:rsidR="00D756E1">
        <w:rPr>
          <w:b/>
          <w:color w:val="auto"/>
          <w:sz w:val="28"/>
        </w:rPr>
        <w:t xml:space="preserve"> </w:t>
      </w:r>
      <w:r w:rsidR="002D0313">
        <w:rPr>
          <w:b/>
          <w:color w:val="auto"/>
          <w:sz w:val="28"/>
        </w:rPr>
        <w:t>2025</w:t>
      </w:r>
    </w:p>
    <w:p w14:paraId="25266CE3" w14:textId="7153E42D" w:rsidR="00205D20" w:rsidRPr="00F45CF9" w:rsidRDefault="00DB6B29" w:rsidP="008C5455">
      <w:pPr>
        <w:jc w:val="center"/>
        <w:rPr>
          <w:color w:val="auto"/>
          <w:sz w:val="28"/>
        </w:rPr>
      </w:pPr>
      <w:r w:rsidRPr="00F45CF9">
        <w:rPr>
          <w:b/>
          <w:color w:val="auto"/>
          <w:sz w:val="28"/>
        </w:rPr>
        <w:t xml:space="preserve"> For surveys in the </w:t>
      </w:r>
      <w:r w:rsidR="000C581B">
        <w:rPr>
          <w:b/>
          <w:color w:val="auto"/>
          <w:sz w:val="28"/>
        </w:rPr>
        <w:t>2026-27</w:t>
      </w:r>
      <w:r w:rsidR="00792503"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101DF697" w:rsidR="008C5455" w:rsidRPr="000450AC" w:rsidRDefault="00205D20" w:rsidP="00205D20">
      <w:pPr>
        <w:widowControl w:val="0"/>
        <w:jc w:val="center"/>
        <w:rPr>
          <w:b/>
          <w:color w:val="595959"/>
          <w:sz w:val="24"/>
          <w:szCs w:val="24"/>
        </w:rPr>
      </w:pPr>
      <w:r w:rsidRPr="00F45CF9">
        <w:rPr>
          <w:b/>
          <w:color w:val="auto"/>
          <w:sz w:val="28"/>
        </w:rPr>
        <w:t xml:space="preserve">Standards and Elements Effective July 1, </w:t>
      </w:r>
      <w:r w:rsidR="000C581B">
        <w:rPr>
          <w:b/>
          <w:color w:val="auto"/>
          <w:sz w:val="28"/>
        </w:rPr>
        <w:t>2026</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9914A6">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78C4FEDD" w:rsidR="00D12E26" w:rsidRPr="0082376A" w:rsidRDefault="00D12E26" w:rsidP="00F178F7">
      <w:r w:rsidRPr="0082376A">
        <w:t xml:space="preserve">© Copyright </w:t>
      </w:r>
      <w:r w:rsidR="00D756E1">
        <w:t>April</w:t>
      </w:r>
      <w:r w:rsidR="00D756E1">
        <w:t xml:space="preserve"> </w:t>
      </w:r>
      <w:r w:rsidR="002D0313">
        <w:t>2025</w:t>
      </w:r>
      <w:r w:rsidRPr="00D0785B">
        <w:t>,</w:t>
      </w:r>
      <w:r w:rsidR="00ED2B4F" w:rsidRPr="00ED2B4F">
        <w:t xml:space="preserve"> </w:t>
      </w:r>
      <w:r w:rsidR="00FE3CE3" w:rsidRPr="0082376A">
        <w:t xml:space="preserve">Association of American Medical </w:t>
      </w:r>
      <w:proofErr w:type="gramStart"/>
      <w:r w:rsidR="000D76DB" w:rsidRPr="0082376A">
        <w:t>Colleges</w:t>
      </w:r>
      <w:proofErr w:type="gramEnd"/>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1EEEDB84" w14:textId="77777777" w:rsidR="008A1D76" w:rsidRDefault="008A1D76" w:rsidP="00904D11">
      <w:pPr>
        <w:jc w:val="center"/>
      </w:pPr>
    </w:p>
    <w:p w14:paraId="51338F4D" w14:textId="77777777" w:rsidR="008A1D76" w:rsidRDefault="008A1D76" w:rsidP="00904D11">
      <w:pPr>
        <w:jc w:val="center"/>
      </w:pPr>
    </w:p>
    <w:p w14:paraId="158BB271" w14:textId="77777777" w:rsidR="008A1D76" w:rsidRDefault="008A1D76" w:rsidP="00904D11">
      <w:pPr>
        <w:jc w:val="center"/>
      </w:pPr>
    </w:p>
    <w:p w14:paraId="39F7BB74" w14:textId="77777777" w:rsidR="008A1D76" w:rsidRDefault="008A1D76" w:rsidP="00904D11">
      <w:pPr>
        <w:jc w:val="center"/>
      </w:pPr>
    </w:p>
    <w:p w14:paraId="4F4EC454" w14:textId="2B4966C1" w:rsidR="00904D11" w:rsidRDefault="00904D11" w:rsidP="00904D11">
      <w:pPr>
        <w:jc w:val="center"/>
      </w:pPr>
      <w:r>
        <w:t>For further information contact</w:t>
      </w:r>
      <w:r w:rsidR="006B0DB2">
        <w:t xml:space="preserve"> </w:t>
      </w:r>
      <w:hyperlink r:id="rId14" w:history="1">
        <w:r w:rsidR="006B0DB2" w:rsidRPr="006B4CB8">
          <w:rPr>
            <w:rStyle w:val="Hyperlink"/>
          </w:rPr>
          <w:t>lcme@aamc.org</w:t>
        </w:r>
      </w:hyperlink>
      <w:r w:rsidR="006B0DB2">
        <w:t xml:space="preserve"> </w:t>
      </w:r>
    </w:p>
    <w:p w14:paraId="0C52EE15" w14:textId="1A6B0580" w:rsidR="002C5DA5" w:rsidRDefault="002C5DA5" w:rsidP="002C5DA5">
      <w:pPr>
        <w:jc w:val="center"/>
      </w:pPr>
    </w:p>
    <w:p w14:paraId="16BECFFA" w14:textId="77777777" w:rsidR="006B0DB2" w:rsidRDefault="006B0DB2" w:rsidP="002C5DA5">
      <w:pPr>
        <w:jc w:val="center"/>
      </w:pPr>
    </w:p>
    <w:p w14:paraId="4B284D81" w14:textId="017AAF6F" w:rsidR="00904D11" w:rsidRPr="0082376A" w:rsidRDefault="00ED2B4F" w:rsidP="008A1D76">
      <w:pPr>
        <w:tabs>
          <w:tab w:val="center" w:pos="4680"/>
          <w:tab w:val="right" w:pos="9360"/>
        </w:tabs>
      </w:pPr>
      <w:r>
        <w:tab/>
      </w:r>
    </w:p>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2360B696" w14:textId="1FDA0FAB" w:rsidR="00D756E1" w:rsidRDefault="00AD4BB6" w:rsidP="00D756E1">
          <w:pPr>
            <w:pStyle w:val="TOC1"/>
            <w:framePr w:wrap="around"/>
            <w:rPr>
              <w:rFonts w:asciiTheme="minorHAnsi" w:eastAsiaTheme="minorEastAsia" w:hAnsiTheme="minorHAnsi" w:cstheme="minorBidi"/>
              <w:color w:val="auto"/>
              <w:kern w:val="2"/>
              <w14:ligatures w14:val="standardContextual"/>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195082580" w:history="1">
            <w:r w:rsidR="00D756E1" w:rsidRPr="00225500">
              <w:rPr>
                <w:rStyle w:val="Hyperlink"/>
              </w:rPr>
              <w:t>Introduction</w:t>
            </w:r>
            <w:r w:rsidR="00D756E1">
              <w:rPr>
                <w:webHidden/>
              </w:rPr>
              <w:tab/>
            </w:r>
            <w:r w:rsidR="00D756E1">
              <w:rPr>
                <w:webHidden/>
              </w:rPr>
              <w:fldChar w:fldCharType="begin"/>
            </w:r>
            <w:r w:rsidR="00D756E1">
              <w:rPr>
                <w:webHidden/>
              </w:rPr>
              <w:instrText xml:space="preserve"> PAGEREF _Toc195082580 \h </w:instrText>
            </w:r>
            <w:r w:rsidR="00D756E1">
              <w:rPr>
                <w:webHidden/>
              </w:rPr>
            </w:r>
            <w:r w:rsidR="00D756E1">
              <w:rPr>
                <w:webHidden/>
              </w:rPr>
              <w:fldChar w:fldCharType="separate"/>
            </w:r>
            <w:r w:rsidR="00D756E1">
              <w:rPr>
                <w:webHidden/>
              </w:rPr>
              <w:t>iv</w:t>
            </w:r>
            <w:r w:rsidR="00D756E1">
              <w:rPr>
                <w:webHidden/>
              </w:rPr>
              <w:fldChar w:fldCharType="end"/>
            </w:r>
          </w:hyperlink>
        </w:p>
        <w:p w14:paraId="50496751" w14:textId="2DE48BD5"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1" w:history="1">
            <w:r w:rsidRPr="00225500">
              <w:rPr>
                <w:rStyle w:val="Hyperlink"/>
              </w:rPr>
              <w:t>Standard 1: Mission, Planning, Organization, and Integrity</w:t>
            </w:r>
            <w:r>
              <w:rPr>
                <w:webHidden/>
              </w:rPr>
              <w:tab/>
            </w:r>
            <w:r>
              <w:rPr>
                <w:webHidden/>
              </w:rPr>
              <w:fldChar w:fldCharType="begin"/>
            </w:r>
            <w:r>
              <w:rPr>
                <w:webHidden/>
              </w:rPr>
              <w:instrText xml:space="preserve"> PAGEREF _Toc195082581 \h </w:instrText>
            </w:r>
            <w:r>
              <w:rPr>
                <w:webHidden/>
              </w:rPr>
            </w:r>
            <w:r>
              <w:rPr>
                <w:webHidden/>
              </w:rPr>
              <w:fldChar w:fldCharType="separate"/>
            </w:r>
            <w:r>
              <w:rPr>
                <w:webHidden/>
              </w:rPr>
              <w:t>1</w:t>
            </w:r>
            <w:r>
              <w:rPr>
                <w:webHidden/>
              </w:rPr>
              <w:fldChar w:fldCharType="end"/>
            </w:r>
          </w:hyperlink>
        </w:p>
        <w:p w14:paraId="2B0D6B90" w14:textId="2516C2DA"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2" w:history="1">
            <w:r w:rsidRPr="00225500">
              <w:rPr>
                <w:rStyle w:val="Hyperlink"/>
              </w:rPr>
              <w:t>Standard 2: Leadership and Administration</w:t>
            </w:r>
            <w:r>
              <w:rPr>
                <w:webHidden/>
              </w:rPr>
              <w:tab/>
            </w:r>
            <w:r>
              <w:rPr>
                <w:webHidden/>
              </w:rPr>
              <w:fldChar w:fldCharType="begin"/>
            </w:r>
            <w:r>
              <w:rPr>
                <w:webHidden/>
              </w:rPr>
              <w:instrText xml:space="preserve"> PAGEREF _Toc195082582 \h </w:instrText>
            </w:r>
            <w:r>
              <w:rPr>
                <w:webHidden/>
              </w:rPr>
            </w:r>
            <w:r>
              <w:rPr>
                <w:webHidden/>
              </w:rPr>
              <w:fldChar w:fldCharType="separate"/>
            </w:r>
            <w:r>
              <w:rPr>
                <w:webHidden/>
              </w:rPr>
              <w:t>3</w:t>
            </w:r>
            <w:r>
              <w:rPr>
                <w:webHidden/>
              </w:rPr>
              <w:fldChar w:fldCharType="end"/>
            </w:r>
          </w:hyperlink>
        </w:p>
        <w:p w14:paraId="3CE444AF" w14:textId="4CDB68F8"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3" w:history="1">
            <w:r w:rsidRPr="00225500">
              <w:rPr>
                <w:rStyle w:val="Hyperlink"/>
              </w:rPr>
              <w:t>Standard 3: Academic and Learning Environments</w:t>
            </w:r>
            <w:r>
              <w:rPr>
                <w:webHidden/>
              </w:rPr>
              <w:tab/>
            </w:r>
            <w:r>
              <w:rPr>
                <w:webHidden/>
              </w:rPr>
              <w:fldChar w:fldCharType="begin"/>
            </w:r>
            <w:r>
              <w:rPr>
                <w:webHidden/>
              </w:rPr>
              <w:instrText xml:space="preserve"> PAGEREF _Toc195082583 \h </w:instrText>
            </w:r>
            <w:r>
              <w:rPr>
                <w:webHidden/>
              </w:rPr>
            </w:r>
            <w:r>
              <w:rPr>
                <w:webHidden/>
              </w:rPr>
              <w:fldChar w:fldCharType="separate"/>
            </w:r>
            <w:r>
              <w:rPr>
                <w:webHidden/>
              </w:rPr>
              <w:t>4</w:t>
            </w:r>
            <w:r>
              <w:rPr>
                <w:webHidden/>
              </w:rPr>
              <w:fldChar w:fldCharType="end"/>
            </w:r>
          </w:hyperlink>
        </w:p>
        <w:p w14:paraId="1C2BD175" w14:textId="0DC9A6A5"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4" w:history="1">
            <w:r w:rsidRPr="00225500">
              <w:rPr>
                <w:rStyle w:val="Hyperlink"/>
              </w:rPr>
              <w:t>Standard 4: Faculty Preparation, Productivity, Participation, and Policies</w:t>
            </w:r>
            <w:r>
              <w:rPr>
                <w:webHidden/>
              </w:rPr>
              <w:tab/>
            </w:r>
            <w:r>
              <w:rPr>
                <w:webHidden/>
              </w:rPr>
              <w:fldChar w:fldCharType="begin"/>
            </w:r>
            <w:r>
              <w:rPr>
                <w:webHidden/>
              </w:rPr>
              <w:instrText xml:space="preserve"> PAGEREF _Toc195082584 \h </w:instrText>
            </w:r>
            <w:r>
              <w:rPr>
                <w:webHidden/>
              </w:rPr>
            </w:r>
            <w:r>
              <w:rPr>
                <w:webHidden/>
              </w:rPr>
              <w:fldChar w:fldCharType="separate"/>
            </w:r>
            <w:r>
              <w:rPr>
                <w:webHidden/>
              </w:rPr>
              <w:t>5</w:t>
            </w:r>
            <w:r>
              <w:rPr>
                <w:webHidden/>
              </w:rPr>
              <w:fldChar w:fldCharType="end"/>
            </w:r>
          </w:hyperlink>
        </w:p>
        <w:p w14:paraId="580F2DD9" w14:textId="59A77662"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5" w:history="1">
            <w:r w:rsidRPr="00225500">
              <w:rPr>
                <w:rStyle w:val="Hyperlink"/>
              </w:rPr>
              <w:t>Standard 5: Educational Resources and Infrastructure</w:t>
            </w:r>
            <w:r>
              <w:rPr>
                <w:webHidden/>
              </w:rPr>
              <w:tab/>
            </w:r>
            <w:r>
              <w:rPr>
                <w:webHidden/>
              </w:rPr>
              <w:fldChar w:fldCharType="begin"/>
            </w:r>
            <w:r>
              <w:rPr>
                <w:webHidden/>
              </w:rPr>
              <w:instrText xml:space="preserve"> PAGEREF _Toc195082585 \h </w:instrText>
            </w:r>
            <w:r>
              <w:rPr>
                <w:webHidden/>
              </w:rPr>
            </w:r>
            <w:r>
              <w:rPr>
                <w:webHidden/>
              </w:rPr>
              <w:fldChar w:fldCharType="separate"/>
            </w:r>
            <w:r>
              <w:rPr>
                <w:webHidden/>
              </w:rPr>
              <w:t>6</w:t>
            </w:r>
            <w:r>
              <w:rPr>
                <w:webHidden/>
              </w:rPr>
              <w:fldChar w:fldCharType="end"/>
            </w:r>
          </w:hyperlink>
        </w:p>
        <w:p w14:paraId="595ECE73" w14:textId="65DFAE0E"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6" w:history="1">
            <w:r w:rsidRPr="00225500">
              <w:rPr>
                <w:rStyle w:val="Hyperlink"/>
              </w:rPr>
              <w:t>Standard 6: Competencies, Curricular Objectives, and Curricular Design</w:t>
            </w:r>
            <w:r>
              <w:rPr>
                <w:webHidden/>
              </w:rPr>
              <w:tab/>
            </w:r>
            <w:r>
              <w:rPr>
                <w:webHidden/>
              </w:rPr>
              <w:fldChar w:fldCharType="begin"/>
            </w:r>
            <w:r>
              <w:rPr>
                <w:webHidden/>
              </w:rPr>
              <w:instrText xml:space="preserve"> PAGEREF _Toc195082586 \h </w:instrText>
            </w:r>
            <w:r>
              <w:rPr>
                <w:webHidden/>
              </w:rPr>
            </w:r>
            <w:r>
              <w:rPr>
                <w:webHidden/>
              </w:rPr>
              <w:fldChar w:fldCharType="separate"/>
            </w:r>
            <w:r>
              <w:rPr>
                <w:webHidden/>
              </w:rPr>
              <w:t>8</w:t>
            </w:r>
            <w:r>
              <w:rPr>
                <w:webHidden/>
              </w:rPr>
              <w:fldChar w:fldCharType="end"/>
            </w:r>
          </w:hyperlink>
        </w:p>
        <w:p w14:paraId="2522EBD8" w14:textId="20833130"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7" w:history="1">
            <w:r w:rsidRPr="00225500">
              <w:rPr>
                <w:rStyle w:val="Hyperlink"/>
              </w:rPr>
              <w:t>Standard 7: Curricular Content</w:t>
            </w:r>
            <w:r>
              <w:rPr>
                <w:webHidden/>
              </w:rPr>
              <w:tab/>
            </w:r>
            <w:r>
              <w:rPr>
                <w:webHidden/>
              </w:rPr>
              <w:fldChar w:fldCharType="begin"/>
            </w:r>
            <w:r>
              <w:rPr>
                <w:webHidden/>
              </w:rPr>
              <w:instrText xml:space="preserve"> PAGEREF _Toc195082587 \h </w:instrText>
            </w:r>
            <w:r>
              <w:rPr>
                <w:webHidden/>
              </w:rPr>
            </w:r>
            <w:r>
              <w:rPr>
                <w:webHidden/>
              </w:rPr>
              <w:fldChar w:fldCharType="separate"/>
            </w:r>
            <w:r>
              <w:rPr>
                <w:webHidden/>
              </w:rPr>
              <w:t>10</w:t>
            </w:r>
            <w:r>
              <w:rPr>
                <w:webHidden/>
              </w:rPr>
              <w:fldChar w:fldCharType="end"/>
            </w:r>
          </w:hyperlink>
        </w:p>
        <w:p w14:paraId="47BE7DAF" w14:textId="33EE00AA"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8" w:history="1">
            <w:r w:rsidRPr="00225500">
              <w:rPr>
                <w:rStyle w:val="Hyperlink"/>
              </w:rPr>
              <w:t>Standard 8: Curricular Management, Evaluation, and Enhancement</w:t>
            </w:r>
            <w:r>
              <w:rPr>
                <w:webHidden/>
              </w:rPr>
              <w:tab/>
            </w:r>
            <w:r>
              <w:rPr>
                <w:webHidden/>
              </w:rPr>
              <w:fldChar w:fldCharType="begin"/>
            </w:r>
            <w:r>
              <w:rPr>
                <w:webHidden/>
              </w:rPr>
              <w:instrText xml:space="preserve"> PAGEREF _Toc195082588 \h </w:instrText>
            </w:r>
            <w:r>
              <w:rPr>
                <w:webHidden/>
              </w:rPr>
            </w:r>
            <w:r>
              <w:rPr>
                <w:webHidden/>
              </w:rPr>
              <w:fldChar w:fldCharType="separate"/>
            </w:r>
            <w:r>
              <w:rPr>
                <w:webHidden/>
              </w:rPr>
              <w:t>12</w:t>
            </w:r>
            <w:r>
              <w:rPr>
                <w:webHidden/>
              </w:rPr>
              <w:fldChar w:fldCharType="end"/>
            </w:r>
          </w:hyperlink>
        </w:p>
        <w:p w14:paraId="71E86F99" w14:textId="01BBED30"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89" w:history="1">
            <w:r w:rsidRPr="00225500">
              <w:rPr>
                <w:rStyle w:val="Hyperlink"/>
              </w:rPr>
              <w:t>Standard 9: Teaching, Supervision, Assessment, and Student and Patient Safety</w:t>
            </w:r>
            <w:r>
              <w:rPr>
                <w:webHidden/>
              </w:rPr>
              <w:tab/>
            </w:r>
            <w:r>
              <w:rPr>
                <w:webHidden/>
              </w:rPr>
              <w:fldChar w:fldCharType="begin"/>
            </w:r>
            <w:r>
              <w:rPr>
                <w:webHidden/>
              </w:rPr>
              <w:instrText xml:space="preserve"> PAGEREF _Toc195082589 \h </w:instrText>
            </w:r>
            <w:r>
              <w:rPr>
                <w:webHidden/>
              </w:rPr>
            </w:r>
            <w:r>
              <w:rPr>
                <w:webHidden/>
              </w:rPr>
              <w:fldChar w:fldCharType="separate"/>
            </w:r>
            <w:r>
              <w:rPr>
                <w:webHidden/>
              </w:rPr>
              <w:t>14</w:t>
            </w:r>
            <w:r>
              <w:rPr>
                <w:webHidden/>
              </w:rPr>
              <w:fldChar w:fldCharType="end"/>
            </w:r>
          </w:hyperlink>
        </w:p>
        <w:p w14:paraId="7D0E364A" w14:textId="67591E7F"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90" w:history="1">
            <w:r w:rsidRPr="00225500">
              <w:rPr>
                <w:rStyle w:val="Hyperlink"/>
              </w:rPr>
              <w:t>Standard 10: Medical Student Selection, Assignment, and Progress</w:t>
            </w:r>
            <w:r>
              <w:rPr>
                <w:webHidden/>
              </w:rPr>
              <w:tab/>
            </w:r>
            <w:r>
              <w:rPr>
                <w:webHidden/>
              </w:rPr>
              <w:fldChar w:fldCharType="begin"/>
            </w:r>
            <w:r>
              <w:rPr>
                <w:webHidden/>
              </w:rPr>
              <w:instrText xml:space="preserve"> PAGEREF _Toc195082590 \h </w:instrText>
            </w:r>
            <w:r>
              <w:rPr>
                <w:webHidden/>
              </w:rPr>
            </w:r>
            <w:r>
              <w:rPr>
                <w:webHidden/>
              </w:rPr>
              <w:fldChar w:fldCharType="separate"/>
            </w:r>
            <w:r>
              <w:rPr>
                <w:webHidden/>
              </w:rPr>
              <w:t>16</w:t>
            </w:r>
            <w:r>
              <w:rPr>
                <w:webHidden/>
              </w:rPr>
              <w:fldChar w:fldCharType="end"/>
            </w:r>
          </w:hyperlink>
        </w:p>
        <w:p w14:paraId="2545C2E0" w14:textId="78E4C3D0"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91" w:history="1">
            <w:r w:rsidRPr="00225500">
              <w:rPr>
                <w:rStyle w:val="Hyperlink"/>
              </w:rPr>
              <w:t>Standard 11: Medical Student Academic Support, Career Advising, and Educational Records</w:t>
            </w:r>
            <w:r>
              <w:rPr>
                <w:webHidden/>
              </w:rPr>
              <w:tab/>
            </w:r>
            <w:r>
              <w:rPr>
                <w:webHidden/>
              </w:rPr>
              <w:fldChar w:fldCharType="begin"/>
            </w:r>
            <w:r>
              <w:rPr>
                <w:webHidden/>
              </w:rPr>
              <w:instrText xml:space="preserve"> PAGEREF _Toc195082591 \h </w:instrText>
            </w:r>
            <w:r>
              <w:rPr>
                <w:webHidden/>
              </w:rPr>
            </w:r>
            <w:r>
              <w:rPr>
                <w:webHidden/>
              </w:rPr>
              <w:fldChar w:fldCharType="separate"/>
            </w:r>
            <w:r>
              <w:rPr>
                <w:webHidden/>
              </w:rPr>
              <w:t>18</w:t>
            </w:r>
            <w:r>
              <w:rPr>
                <w:webHidden/>
              </w:rPr>
              <w:fldChar w:fldCharType="end"/>
            </w:r>
          </w:hyperlink>
        </w:p>
        <w:p w14:paraId="0051C6F2" w14:textId="673CFFDF" w:rsidR="00D756E1" w:rsidRDefault="00D756E1" w:rsidP="00D756E1">
          <w:pPr>
            <w:pStyle w:val="TOC1"/>
            <w:framePr w:wrap="around"/>
            <w:rPr>
              <w:rFonts w:asciiTheme="minorHAnsi" w:eastAsiaTheme="minorEastAsia" w:hAnsiTheme="minorHAnsi" w:cstheme="minorBidi"/>
              <w:color w:val="auto"/>
              <w:kern w:val="2"/>
              <w14:ligatures w14:val="standardContextual"/>
            </w:rPr>
          </w:pPr>
          <w:hyperlink w:anchor="_Toc195082592" w:history="1">
            <w:r w:rsidRPr="00225500">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_Toc195082592 \h </w:instrText>
            </w:r>
            <w:r>
              <w:rPr>
                <w:webHidden/>
              </w:rPr>
            </w:r>
            <w:r>
              <w:rPr>
                <w:webHidden/>
              </w:rPr>
              <w:fldChar w:fldCharType="separate"/>
            </w:r>
            <w:r>
              <w:rPr>
                <w:webHidden/>
              </w:rPr>
              <w:t>19</w:t>
            </w:r>
            <w:r>
              <w:rPr>
                <w:webHidden/>
              </w:rPr>
              <w:fldChar w:fldCharType="end"/>
            </w:r>
          </w:hyperlink>
        </w:p>
        <w:p w14:paraId="5455255B" w14:textId="5C49F4E6"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195082580"/>
      <w:r w:rsidRPr="00AD4BB6">
        <w:t>Introduction</w:t>
      </w:r>
      <w:bookmarkEnd w:id="4"/>
      <w:bookmarkEnd w:id="5"/>
      <w:r w:rsidRPr="00FE4DEA">
        <w:t xml:space="preserve"> </w:t>
      </w:r>
    </w:p>
    <w:p w14:paraId="50AA7832" w14:textId="77777777" w:rsidR="008D270C" w:rsidRPr="0082376A" w:rsidRDefault="008D270C" w:rsidP="00F178F7"/>
    <w:p w14:paraId="36D2055C" w14:textId="2AF3ACB7"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t>
      </w:r>
      <w:r w:rsidR="00991D6B">
        <w:t xml:space="preserve">the United States in </w:t>
      </w:r>
      <w:r w:rsidRPr="0082376A">
        <w:t xml:space="preserve">which medical students are geographically located in the United States for their education and which are operated by universities or medical schools chartered in the United States. By judging </w:t>
      </w:r>
      <w:r w:rsidR="00542978">
        <w:t>whether</w:t>
      </w:r>
      <w:r w:rsidRPr="0082376A">
        <w:t xml:space="preserve"> medical education programs </w:t>
      </w:r>
      <w:r w:rsidR="00542978">
        <w:t xml:space="preserve">comply </w:t>
      </w:r>
      <w:r w:rsidRPr="0082376A">
        <w:t>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3A7B3096"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xml:space="preserve">, including </w:t>
      </w:r>
      <w:r w:rsidR="008841C1">
        <w:t xml:space="preserve">the LCME’s </w:t>
      </w:r>
      <w:r w:rsidR="007B56C5">
        <w:t>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creation</w:t>
      </w:r>
      <w:r w:rsidR="00542978">
        <w:t>, revision,</w:t>
      </w:r>
      <w:r w:rsidR="00263FFD" w:rsidRPr="0082376A">
        <w:t xml:space="preserve">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7F5CFDC5" w14:textId="77777777" w:rsidR="000450AC" w:rsidRPr="0082376A" w:rsidRDefault="000450AC" w:rsidP="00F178F7"/>
    <w:p w14:paraId="1AB76BA6" w14:textId="77777777" w:rsidR="000C6F96" w:rsidRDefault="0071576D" w:rsidP="00E91287">
      <w:r w:rsidRPr="0082376A">
        <w:t xml:space="preserve">As you </w:t>
      </w:r>
      <w:r w:rsidR="00E63495" w:rsidRPr="0082376A">
        <w:t>read</w:t>
      </w:r>
      <w:r w:rsidRPr="0082376A">
        <w:t xml:space="preserve"> this document, please note </w:t>
      </w:r>
      <w:r w:rsidR="008841C1">
        <w:t>that the</w:t>
      </w:r>
      <w:r w:rsidR="00D03F64">
        <w:t xml:space="preserve"> </w:t>
      </w:r>
      <w:r w:rsidRPr="0082376A">
        <w:t>12 standards are organized to flow from the level of the institution to the level of the student</w:t>
      </w:r>
      <w:r w:rsidR="000450AC" w:rsidRPr="0082376A">
        <w:t>.</w:t>
      </w:r>
    </w:p>
    <w:p w14:paraId="09A97F4C" w14:textId="77777777" w:rsidR="000C6F96" w:rsidRPr="0082376A" w:rsidRDefault="000C6F96" w:rsidP="000C6F96"/>
    <w:p w14:paraId="46853EBB" w14:textId="6AA457AB" w:rsidR="000C6F96" w:rsidRPr="0082376A" w:rsidRDefault="000C6F96" w:rsidP="000C6F96">
      <w:r w:rsidRPr="0006655A">
        <w:t>The</w:t>
      </w:r>
      <w:r w:rsidRPr="0082376A">
        <w:rPr>
          <w:b/>
        </w:rPr>
        <w:t xml:space="preserve"> </w:t>
      </w:r>
      <w:r>
        <w:rPr>
          <w:b/>
        </w:rPr>
        <w:t>LCME Glossary</w:t>
      </w:r>
      <w:r w:rsidRPr="000C6F96">
        <w:rPr>
          <w:bCs/>
        </w:rPr>
        <w:t xml:space="preserve">, available on the LCME website: </w:t>
      </w:r>
      <w:hyperlink r:id="rId15" w:history="1">
        <w:r w:rsidRPr="000C6F96">
          <w:rPr>
            <w:rStyle w:val="Hyperlink"/>
            <w:bCs/>
          </w:rPr>
          <w:t>lcme.org/glossary</w:t>
        </w:r>
      </w:hyperlink>
      <w:r w:rsidRPr="000C6F96">
        <w:rPr>
          <w:bCs/>
        </w:rPr>
        <w:t>,</w:t>
      </w:r>
      <w:r>
        <w:rPr>
          <w:b/>
        </w:rPr>
        <w:t xml:space="preserve"> </w:t>
      </w:r>
      <w:r w:rsidRPr="0082376A">
        <w:t xml:space="preserve">provides the </w:t>
      </w:r>
      <w:proofErr w:type="spellStart"/>
      <w:r w:rsidRPr="0082376A">
        <w:t>LCME’s</w:t>
      </w:r>
      <w:proofErr w:type="spellEnd"/>
      <w:r w:rsidRPr="0082376A">
        <w:t xml:space="preserve"> definitions of terms used in the </w:t>
      </w:r>
      <w:r w:rsidRPr="007C7CDB">
        <w:rPr>
          <w:i/>
        </w:rPr>
        <w:t>Functions and Structure of a Medical School</w:t>
      </w:r>
      <w:r>
        <w:rPr>
          <w:i/>
        </w:rPr>
        <w:t xml:space="preserve"> </w:t>
      </w:r>
      <w:r>
        <w:rPr>
          <w:iCs/>
        </w:rPr>
        <w:t>and DCI</w:t>
      </w:r>
      <w:r w:rsidRPr="0082376A">
        <w:t>.</w:t>
      </w:r>
    </w:p>
    <w:p w14:paraId="178E8C9A" w14:textId="476221CC" w:rsidR="009D439A" w:rsidRPr="0082376A" w:rsidRDefault="00C74FDC" w:rsidP="00E91287">
      <w:r>
        <w:br w:type="page"/>
      </w:r>
    </w:p>
    <w:p w14:paraId="0B314486" w14:textId="77777777" w:rsidR="00CE2D4B" w:rsidRPr="0082376A" w:rsidRDefault="00CE2D4B" w:rsidP="00F178F7">
      <w:pPr>
        <w:sectPr w:rsidR="00CE2D4B" w:rsidRPr="0082376A" w:rsidSect="009914A6">
          <w:headerReference w:type="first" r:id="rId16"/>
          <w:footerReference w:type="first" r:id="rId17"/>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195082581"/>
      <w:r w:rsidRPr="00A03D42">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03054F" w:rsidRDefault="00ED5562" w:rsidP="00F178F7">
      <w:r w:rsidRPr="0003054F">
        <w:t>A medical school engages in ongoing</w:t>
      </w:r>
      <w:r w:rsidR="008A33AF" w:rsidRPr="0003054F">
        <w:t xml:space="preserve"> st</w:t>
      </w:r>
      <w:r w:rsidR="00213B00" w:rsidRPr="0003054F">
        <w:t>rategic</w:t>
      </w:r>
      <w:r w:rsidRPr="0003054F">
        <w:t xml:space="preserve"> planning and continuous quality improvement processes that establish </w:t>
      </w:r>
      <w:r w:rsidR="00213B00" w:rsidRPr="0003054F">
        <w:t xml:space="preserve">its </w:t>
      </w:r>
      <w:r w:rsidRPr="0003054F">
        <w:t>short and long-term programmatic goals, result in the achievement of measurable outcomes that are used to improve</w:t>
      </w:r>
      <w:r w:rsidR="00213B00" w:rsidRPr="0003054F">
        <w:t xml:space="preserve"> educational</w:t>
      </w:r>
      <w:r w:rsidRPr="0003054F">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69C8BBF7" w14:textId="77777777" w:rsidR="00D23044" w:rsidRDefault="00D23044">
      <w:pPr>
        <w:rPr>
          <w:b/>
        </w:rPr>
      </w:pPr>
      <w:r>
        <w:rPr>
          <w:b/>
        </w:rPr>
        <w:br w:type="page"/>
      </w:r>
    </w:p>
    <w:p w14:paraId="3470EB7F" w14:textId="51314249"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089F4E30" w:rsidR="003568E1" w:rsidRDefault="003568E1" w:rsidP="00F178F7">
      <w:bookmarkStart w:id="11" w:name="_Toc385931298"/>
      <w:bookmarkStart w:id="12" w:name="_Toc385931845"/>
      <w:r w:rsidRPr="0082376A">
        <w:t xml:space="preserve">A medical school promulgates bylaws or similar policy documents that describe the responsibilities </w:t>
      </w:r>
      <w:r w:rsidR="003C4840">
        <w:t>of the dean</w:t>
      </w:r>
      <w:r w:rsidR="00AF77B8">
        <w:t xml:space="preserve"> and the faculty </w:t>
      </w:r>
      <w:r w:rsidRPr="0082376A">
        <w:t xml:space="preserve">and </w:t>
      </w:r>
      <w:r w:rsidR="00AF77B8">
        <w:t xml:space="preserve">the </w:t>
      </w:r>
      <w:r w:rsidR="002E1222">
        <w:t>charges to the school’s standing committees</w:t>
      </w:r>
      <w:r w:rsidRPr="0082376A">
        <w:t>.</w:t>
      </w:r>
      <w:bookmarkEnd w:id="11"/>
      <w:bookmarkEnd w:id="12"/>
    </w:p>
    <w:p w14:paraId="639A6960" w14:textId="77777777" w:rsidR="002E1222" w:rsidRPr="0082376A" w:rsidRDefault="002E1222" w:rsidP="00F178F7"/>
    <w:p w14:paraId="52D51744" w14:textId="77777777" w:rsidR="001A162A" w:rsidRPr="0082376A" w:rsidRDefault="001A162A" w:rsidP="0006655A">
      <w:pPr>
        <w:ind w:left="720" w:hanging="720"/>
        <w:rPr>
          <w:b/>
        </w:rPr>
      </w:pPr>
      <w:r w:rsidRPr="0082376A">
        <w:rPr>
          <w:b/>
        </w:rPr>
        <w:t>1.6</w:t>
      </w:r>
      <w:r w:rsidRPr="0082376A">
        <w:rPr>
          <w:b/>
        </w:rPr>
        <w:tab/>
        <w:t>Eligibility Requirements</w:t>
      </w:r>
    </w:p>
    <w:p w14:paraId="53EA6B63" w14:textId="77777777" w:rsidR="001A162A" w:rsidRPr="0082376A" w:rsidRDefault="001A162A" w:rsidP="00F178F7"/>
    <w:p w14:paraId="32718490" w14:textId="77777777" w:rsidR="00AB3FAD" w:rsidRDefault="00031CE2" w:rsidP="00AB3FAD">
      <w:pPr>
        <w:pStyle w:val="Revision"/>
      </w:pPr>
      <w:bookmarkStart w:id="13" w:name="_Toc385931303"/>
      <w:bookmarkStart w:id="14" w:name="_Toc385931850"/>
      <w:r w:rsidRPr="00031CE2">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574C8">
        <w:t>of</w:t>
      </w:r>
      <w:r w:rsidRPr="00031CE2">
        <w:t xml:space="preserve"> either the medical school or its sponsoring organization. </w:t>
      </w:r>
      <w:bookmarkStart w:id="15" w:name="_Toc446335870"/>
      <w:bookmarkStart w:id="16" w:name="_Toc382636670"/>
      <w:bookmarkStart w:id="17" w:name="_Toc382925168"/>
      <w:bookmarkEnd w:id="13"/>
      <w:bookmarkEnd w:id="14"/>
    </w:p>
    <w:p w14:paraId="76247EDE" w14:textId="77777777" w:rsidR="00AB3FAD" w:rsidRDefault="00AB3FAD" w:rsidP="00AB3FAD">
      <w:pPr>
        <w:pStyle w:val="Revision"/>
      </w:pPr>
    </w:p>
    <w:p w14:paraId="0B8823FD" w14:textId="77777777" w:rsidR="00AB3FAD" w:rsidRDefault="00AB3FAD">
      <w:r>
        <w:br w:type="page"/>
      </w:r>
    </w:p>
    <w:p w14:paraId="4FE73F21" w14:textId="7123F558" w:rsidR="00774048" w:rsidRPr="000450AC" w:rsidRDefault="00774048" w:rsidP="00AB3FAD">
      <w:pPr>
        <w:pStyle w:val="LCME"/>
      </w:pPr>
      <w:bookmarkStart w:id="18" w:name="_Toc195082582"/>
      <w:r w:rsidRPr="000450AC">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4032D91D" w:rsidR="00F777C5" w:rsidRPr="0082376A" w:rsidRDefault="003568E1" w:rsidP="00F178F7">
      <w:r w:rsidRPr="0082376A">
        <w:t xml:space="preserve">The dean of a medical school has sufficient access to the university president or other institutional official charged with final responsibility for the medical </w:t>
      </w:r>
      <w:r w:rsidR="00BD477A">
        <w:t>school</w:t>
      </w:r>
      <w:r w:rsidRPr="0082376A">
        <w:t xml:space="preserve">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012F4452" w14:textId="4F0FBC78" w:rsidR="005C56D8" w:rsidRPr="0082376A" w:rsidRDefault="009D5875" w:rsidP="00F178F7">
      <w:bookmarkStart w:id="19" w:name="_Toc385931322"/>
      <w:bookmarkStart w:id="20" w:name="_Toc385931869"/>
      <w:r w:rsidRPr="009D5875">
        <w:t xml:space="preserve">A medical school has in place a sufficient number of associate or assistant deans, leaders of organizational units, and senior administrative staff who are able to commit the time necessary to </w:t>
      </w:r>
      <w:proofErr w:type="gramStart"/>
      <w:r w:rsidRPr="009D5875">
        <w:t>accomplish</w:t>
      </w:r>
      <w:r w:rsidR="00D574C8">
        <w:t xml:space="preserve"> effectively</w:t>
      </w:r>
      <w:proofErr w:type="gramEnd"/>
      <w:r w:rsidRPr="009D5875">
        <w:t xml:space="preserve"> the missions of the medical school.</w:t>
      </w:r>
      <w:bookmarkEnd w:id="19"/>
      <w:bookmarkEnd w:id="20"/>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195082583"/>
      <w:r w:rsidR="00774048" w:rsidRPr="000450AC">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77777777" w:rsidR="002A0BED" w:rsidRPr="0082376A" w:rsidRDefault="00904F6F" w:rsidP="00F178F7">
      <w:r w:rsidRPr="0082376A">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2D9D4CE7" w14:textId="77777777"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69BFE7B" w14:textId="77777777" w:rsidR="009407FF" w:rsidRPr="0082376A" w:rsidRDefault="009407FF" w:rsidP="00F178F7"/>
    <w:p w14:paraId="297E6FE1" w14:textId="696F717F" w:rsidR="009407FF" w:rsidRPr="0082376A" w:rsidRDefault="009407FF" w:rsidP="00F178F7">
      <w:pPr>
        <w:rPr>
          <w:b/>
        </w:rPr>
      </w:pPr>
      <w:r w:rsidRPr="0082376A">
        <w:rPr>
          <w:b/>
        </w:rPr>
        <w:t xml:space="preserve">3.3 </w:t>
      </w:r>
      <w:r w:rsidR="00834499" w:rsidRPr="0082376A">
        <w:rPr>
          <w:b/>
        </w:rPr>
        <w:tab/>
      </w:r>
      <w:r w:rsidRPr="0082376A">
        <w:rPr>
          <w:b/>
        </w:rPr>
        <w:t>Diversity Programs and Partnerships</w:t>
      </w:r>
    </w:p>
    <w:p w14:paraId="7296D13E" w14:textId="77777777" w:rsidR="009407FF" w:rsidRPr="0082376A" w:rsidRDefault="009407FF" w:rsidP="00F178F7"/>
    <w:p w14:paraId="1EE634CE" w14:textId="5C24B6D4" w:rsidR="009407FF" w:rsidRPr="0082376A" w:rsidRDefault="00904F6F" w:rsidP="00F178F7">
      <w:r w:rsidRPr="0082376A">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orientation</w:t>
      </w:r>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195082584"/>
      <w:r w:rsidRPr="000450AC">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213E9204" w14:textId="2FC8A376" w:rsidR="00B82B3E" w:rsidRPr="0082376A" w:rsidRDefault="00B82B3E" w:rsidP="00F178F7">
      <w:pPr>
        <w:rPr>
          <w:b/>
        </w:rPr>
      </w:pPr>
      <w:r w:rsidRPr="0082376A">
        <w:rPr>
          <w:b/>
        </w:rPr>
        <w:t>4.</w:t>
      </w:r>
      <w:r w:rsidR="00B75724">
        <w:rPr>
          <w:b/>
        </w:rPr>
        <w:t>2</w:t>
      </w:r>
      <w:r w:rsidRPr="0082376A">
        <w:rPr>
          <w:b/>
        </w:rPr>
        <w:t xml:space="preserve">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37EFA868" w:rsidR="00B82B3E" w:rsidRDefault="00B82B3E" w:rsidP="00F178F7"/>
    <w:p w14:paraId="705B0631" w14:textId="3C463758" w:rsidR="00B75724" w:rsidRPr="0082376A" w:rsidRDefault="00B75724" w:rsidP="00B75724">
      <w:pPr>
        <w:rPr>
          <w:b/>
        </w:rPr>
      </w:pPr>
      <w:r w:rsidRPr="0082376A">
        <w:rPr>
          <w:b/>
        </w:rPr>
        <w:t>4.</w:t>
      </w:r>
      <w:r>
        <w:rPr>
          <w:b/>
        </w:rPr>
        <w:t>3</w:t>
      </w:r>
      <w:r w:rsidRPr="0082376A">
        <w:rPr>
          <w:b/>
        </w:rPr>
        <w:t xml:space="preserve"> </w:t>
      </w:r>
      <w:r w:rsidRPr="0082376A">
        <w:rPr>
          <w:b/>
        </w:rPr>
        <w:tab/>
        <w:t>Scholarly Productivity</w:t>
      </w:r>
    </w:p>
    <w:p w14:paraId="6F096CC0" w14:textId="77777777" w:rsidR="00B75724" w:rsidRPr="0082376A" w:rsidRDefault="00B75724" w:rsidP="00B75724"/>
    <w:p w14:paraId="579DF1C4" w14:textId="77777777" w:rsidR="00B75724" w:rsidRPr="0082376A" w:rsidRDefault="00B75724" w:rsidP="00B75724">
      <w:r w:rsidRPr="0082376A">
        <w:t xml:space="preserve">The faculty of a medical school demonstrate a commitment to continuing scholarly productivity that is characteristic of an institution of higher learning. </w:t>
      </w:r>
    </w:p>
    <w:p w14:paraId="4BBB6D40" w14:textId="77777777" w:rsidR="00B75724" w:rsidRPr="0082376A" w:rsidRDefault="00B75724"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0F872B1D" w14:textId="1C0ED7BD" w:rsidR="006B0DB2" w:rsidRPr="006B0DB2" w:rsidRDefault="00031CE2" w:rsidP="006B0DB2">
      <w:r w:rsidRPr="006B0DB2">
        <w:t>At a medical school, the dean and a committee of relevant medical school administrators and faculty representatives determine the governance and policymaking processes within their purview.</w:t>
      </w:r>
    </w:p>
    <w:p w14:paraId="3C35043E" w14:textId="258C3983" w:rsidR="00B82B3E" w:rsidRPr="000450AC" w:rsidRDefault="00B82B3E" w:rsidP="006B0DB2">
      <w:pPr>
        <w:pStyle w:val="LCME"/>
      </w:pPr>
      <w:r w:rsidRPr="0082376A">
        <w:br w:type="page"/>
      </w:r>
      <w:bookmarkStart w:id="25" w:name="_Toc446335873"/>
      <w:bookmarkStart w:id="26" w:name="_Toc382636673"/>
      <w:bookmarkStart w:id="27" w:name="_Toc382925171"/>
      <w:bookmarkStart w:id="28" w:name="_Toc195082585"/>
      <w:r w:rsidRPr="000450AC">
        <w:t>Standard 5: Educational Resources and Infrastructure</w:t>
      </w:r>
      <w:bookmarkEnd w:id="25"/>
      <w:bookmarkEnd w:id="28"/>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489ABF70"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w:t>
      </w:r>
      <w:r w:rsidR="0055688E">
        <w:t>quality and sustainability of the medical education program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3546EDA" w:rsidR="00B82B3E" w:rsidRPr="0082376A" w:rsidRDefault="00DB60D2" w:rsidP="00F178F7">
      <w:r w:rsidRPr="0082376A">
        <w:t xml:space="preserve">A medical school has, or is assured the use of, appropriate resources for the clinical instruction of its medical students in ambulatory and inpatient settings </w:t>
      </w:r>
      <w:r w:rsidR="006B0DB2">
        <w:t>that have</w:t>
      </w:r>
      <w:r w:rsidRPr="0082376A">
        <w:t xml:space="preserve">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375F687B" w14:textId="77777777" w:rsidR="00D23044"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1AB3C3CE" w14:textId="77777777" w:rsidR="00D23044" w:rsidRDefault="00D23044" w:rsidP="00F178F7"/>
    <w:p w14:paraId="6B09BD2D" w14:textId="623808BA" w:rsidR="00B82B3E" w:rsidRPr="00D23044" w:rsidRDefault="00B82B3E" w:rsidP="00F178F7">
      <w:r w:rsidRPr="0082376A">
        <w:rPr>
          <w:b/>
        </w:rPr>
        <w:t xml:space="preserve">5.8 </w:t>
      </w:r>
      <w:r w:rsidR="00834499" w:rsidRPr="0082376A">
        <w:rPr>
          <w:b/>
        </w:rPr>
        <w:tab/>
      </w:r>
      <w:r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3DD19BD5" w:rsidR="00B82B3E" w:rsidRPr="0082376A" w:rsidRDefault="00B82B3E" w:rsidP="00F178F7">
      <w:pPr>
        <w:rPr>
          <w:b/>
        </w:rPr>
      </w:pPr>
      <w:r w:rsidRPr="0082376A">
        <w:rPr>
          <w:b/>
        </w:rPr>
        <w:t xml:space="preserve">5.11 </w:t>
      </w:r>
      <w:r w:rsidR="00834499" w:rsidRPr="0082376A">
        <w:rPr>
          <w:b/>
        </w:rPr>
        <w:tab/>
      </w:r>
      <w:r w:rsidRPr="0082376A">
        <w:rPr>
          <w:b/>
        </w:rPr>
        <w:t>Study/</w:t>
      </w:r>
      <w:r w:rsidR="000C581B">
        <w:rPr>
          <w:b/>
        </w:rPr>
        <w:t>Relaxation</w:t>
      </w:r>
      <w:r w:rsidRPr="0082376A">
        <w:rPr>
          <w:b/>
        </w:rPr>
        <w:t>/Storage Space/Call Rooms</w:t>
      </w:r>
    </w:p>
    <w:p w14:paraId="4D2E5059" w14:textId="77777777" w:rsidR="00B82B3E" w:rsidRPr="0082376A" w:rsidRDefault="00B82B3E" w:rsidP="00F178F7"/>
    <w:p w14:paraId="04CD3F33" w14:textId="3B811302" w:rsidR="00B82B3E" w:rsidRPr="000C6800" w:rsidRDefault="00DB60D2" w:rsidP="00F178F7">
      <w:r w:rsidRPr="000C6800">
        <w:t xml:space="preserve">A medical school ensures that its medical students have at each campus adequate study space, </w:t>
      </w:r>
      <w:r w:rsidR="000C581B">
        <w:t>relaxation space</w:t>
      </w:r>
      <w:r w:rsidRPr="000C6800">
        <w:t xml:space="preserve">, </w:t>
      </w:r>
      <w:r w:rsidR="000C581B">
        <w:t xml:space="preserve">and </w:t>
      </w:r>
      <w:r w:rsidRPr="000C6800">
        <w:t xml:space="preserve">personal lockers or other secure storage </w:t>
      </w:r>
      <w:r w:rsidR="000C581B">
        <w:t>space. A medical school also ensures that medical students have at each clinical site adequate study space, personal lockers or other secure storage space,</w:t>
      </w:r>
      <w:r w:rsidRPr="000C6800">
        <w:t xml:space="preserve"> and secure </w:t>
      </w:r>
      <w:r w:rsidR="000C581B">
        <w:t>on-</w:t>
      </w:r>
      <w:r w:rsidRPr="000C6800">
        <w:t>call rooms if students are required to participate in late night or overnight clinical learning experiences</w:t>
      </w:r>
      <w:r w:rsidR="00B82B3E" w:rsidRPr="000C6800">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755890F4" w:rsidR="00594117" w:rsidRDefault="00DB60D2" w:rsidP="00F34544">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w:t>
      </w:r>
      <w:r w:rsidR="00F34544">
        <w:t>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61BDD9B9" w14:textId="41922EAB" w:rsidR="00535F33" w:rsidRDefault="00535F33" w:rsidP="00F34544"/>
    <w:p w14:paraId="343A8837" w14:textId="77777777" w:rsidR="00E631F4" w:rsidRPr="00E631F4" w:rsidRDefault="00E631F4" w:rsidP="00E631F4">
      <w:r w:rsidRPr="00E631F4">
        <w:t xml:space="preserve">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of the LCME website and the LCME email address. </w:t>
      </w:r>
    </w:p>
    <w:p w14:paraId="20151B6F" w14:textId="77777777" w:rsidR="00535F33" w:rsidRDefault="00535F33" w:rsidP="00F34544"/>
    <w:p w14:paraId="7982C817" w14:textId="0C87D38D" w:rsidR="0096588B" w:rsidRPr="000450AC" w:rsidRDefault="00B82B3E" w:rsidP="00594117">
      <w:pPr>
        <w:pStyle w:val="LCME"/>
      </w:pPr>
      <w:r w:rsidRPr="00923C8D">
        <w:br w:type="page"/>
      </w:r>
      <w:bookmarkStart w:id="31" w:name="_Toc446335874"/>
      <w:bookmarkStart w:id="32" w:name="_Toc195082586"/>
      <w:bookmarkEnd w:id="26"/>
      <w:bookmarkEnd w:id="27"/>
      <w:r w:rsidR="0096588B" w:rsidRPr="000450AC">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74B14D08" w14:textId="662D92E2" w:rsidR="005C56D8" w:rsidRPr="0082376A" w:rsidRDefault="00CE776B" w:rsidP="00F178F7">
      <w:r>
        <w:t xml:space="preserve">The faculty of a medical school ensure that the medical curriculum includes self-directed learning experiences that </w:t>
      </w:r>
      <w:r w:rsidR="009D5875" w:rsidRPr="009D5875">
        <w:t>allow medical students to develop the skills of lifelong learni</w:t>
      </w:r>
      <w:r>
        <w:t>ng. S</w:t>
      </w:r>
      <w:r w:rsidR="009D5875" w:rsidRPr="009D5875">
        <w:t>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195082587"/>
      <w:r w:rsidR="00DF6425" w:rsidRPr="00DB5735">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46A088EA" w14:textId="17B142F7" w:rsidR="0053361F" w:rsidRDefault="0068755D" w:rsidP="00F178F7">
      <w:r>
        <w:br w:type="page"/>
      </w:r>
    </w:p>
    <w:p w14:paraId="2797AE6D" w14:textId="7D68E6E0" w:rsidR="0096588B" w:rsidRPr="0082376A" w:rsidRDefault="0096588B" w:rsidP="00F178F7">
      <w:pPr>
        <w:rPr>
          <w:b/>
        </w:rPr>
      </w:pPr>
      <w:r w:rsidRPr="0082376A">
        <w:rPr>
          <w:b/>
        </w:rPr>
        <w:t xml:space="preserve">7.6 </w:t>
      </w:r>
      <w:r w:rsidR="00834499" w:rsidRPr="0082376A">
        <w:rPr>
          <w:b/>
        </w:rPr>
        <w:tab/>
      </w:r>
      <w:r w:rsidR="00250644">
        <w:rPr>
          <w:b/>
        </w:rPr>
        <w:t xml:space="preserve">Structural Competence, </w:t>
      </w:r>
      <w:r w:rsidR="009474EB" w:rsidRPr="0082376A">
        <w:rPr>
          <w:b/>
        </w:rPr>
        <w:t>Cultural Competence</w:t>
      </w:r>
      <w:r w:rsidR="002536AB">
        <w:rPr>
          <w:b/>
        </w:rPr>
        <w:t>,</w:t>
      </w:r>
      <w:r w:rsidR="009474EB" w:rsidRPr="0082376A">
        <w:rPr>
          <w:b/>
        </w:rPr>
        <w:t xml:space="preserve"> and </w:t>
      </w:r>
      <w:r w:rsidRPr="0082376A">
        <w:rPr>
          <w:b/>
        </w:rPr>
        <w:t>Healt</w:t>
      </w:r>
      <w:r w:rsidR="009474EB" w:rsidRPr="0082376A">
        <w:rPr>
          <w:b/>
        </w:rPr>
        <w:t xml:space="preserve">h </w:t>
      </w:r>
      <w:r w:rsidR="00250644">
        <w:rPr>
          <w:b/>
        </w:rPr>
        <w:t>Inequities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458A738C" w:rsidR="009474EB" w:rsidRDefault="009474EB" w:rsidP="0021260E">
      <w:pPr>
        <w:pStyle w:val="ListParagraph"/>
        <w:numPr>
          <w:ilvl w:val="0"/>
          <w:numId w:val="3"/>
        </w:numPr>
      </w:pPr>
      <w:bookmarkStart w:id="39" w:name="_Toc385931544"/>
      <w:bookmarkStart w:id="40" w:name="_Toc385932097"/>
      <w:r w:rsidRPr="0082376A">
        <w:t>The basic principles of culturally</w:t>
      </w:r>
      <w:r w:rsidR="0087599E">
        <w:t xml:space="preserve"> and structurally</w:t>
      </w:r>
      <w:r w:rsidRPr="0082376A">
        <w:t xml:space="preserve"> competent health care</w:t>
      </w:r>
      <w:bookmarkEnd w:id="39"/>
      <w:bookmarkEnd w:id="40"/>
    </w:p>
    <w:p w14:paraId="6B7F8E49" w14:textId="3B82F0C7" w:rsidR="002536AB" w:rsidRPr="0082376A" w:rsidRDefault="002536AB" w:rsidP="0021260E">
      <w:pPr>
        <w:pStyle w:val="ListParagraph"/>
        <w:numPr>
          <w:ilvl w:val="0"/>
          <w:numId w:val="3"/>
        </w:numPr>
      </w:pPr>
      <w:r>
        <w:t>The importance of health care disparities and health inequities</w:t>
      </w:r>
    </w:p>
    <w:p w14:paraId="110CA18F" w14:textId="4109E783" w:rsidR="009474EB" w:rsidRPr="0082376A" w:rsidRDefault="0087599E" w:rsidP="0021260E">
      <w:pPr>
        <w:pStyle w:val="ListParagraph"/>
        <w:numPr>
          <w:ilvl w:val="0"/>
          <w:numId w:val="3"/>
        </w:numPr>
      </w:pPr>
      <w:bookmarkStart w:id="41" w:name="_Toc385931546"/>
      <w:bookmarkStart w:id="42" w:name="_Toc385932099"/>
      <w:r>
        <w:t>T</w:t>
      </w:r>
      <w:r w:rsidR="003E28B5">
        <w: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w:t>
      </w:r>
      <w:r>
        <w:t>approaches to reduce</w:t>
      </w:r>
      <w:r w:rsidR="00962ABF">
        <w:t xml:space="preserve"> health care </w:t>
      </w:r>
      <w:r>
        <w:t>inequities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195082588"/>
      <w:r w:rsidRPr="000450AC">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161E4A7C" w:rsidR="00DF6425" w:rsidRPr="0082376A" w:rsidRDefault="009474EB" w:rsidP="00F178F7">
      <w:r w:rsidRPr="0082376A">
        <w:t>A medical school has in place a faculty committee that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1D9FA922" w14:textId="112837B9" w:rsidR="00C32383" w:rsidRPr="0082376A" w:rsidRDefault="00D23044" w:rsidP="00F178F7">
      <w:r>
        <w:br w:type="page"/>
      </w:r>
    </w:p>
    <w:p w14:paraId="6F95F27F" w14:textId="77777777" w:rsidR="00DF6425" w:rsidRPr="0082376A" w:rsidRDefault="00DF6425" w:rsidP="00F178F7">
      <w:pPr>
        <w:rPr>
          <w:b/>
        </w:rPr>
      </w:pPr>
      <w:r w:rsidRPr="0082376A">
        <w:rPr>
          <w:b/>
        </w:rPr>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0662BBED" w:rsidR="00DF6425" w:rsidRPr="0082376A" w:rsidRDefault="009474EB" w:rsidP="00F178F7">
      <w:r w:rsidRPr="0082376A">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E48F7">
        <w:t xml:space="preserve">throughout </w:t>
      </w:r>
      <w:r w:rsidR="00AD6259">
        <w:t>the curriculum</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195082589"/>
      <w:r w:rsidR="00E723FE" w:rsidRPr="000450AC">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888831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D81240C"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FF488E" w:rsidRDefault="00B129DD" w:rsidP="00F178F7">
      <w:r w:rsidRPr="00FF488E">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FF488E">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75877128" w:rsidR="00FE19C3" w:rsidRDefault="00FE19C3">
      <w:r>
        <w:br w:type="page"/>
      </w:r>
    </w:p>
    <w:p w14:paraId="62378638" w14:textId="77777777" w:rsidR="00DF6425" w:rsidRPr="0082376A" w:rsidRDefault="00DF6425" w:rsidP="00F178F7">
      <w:pPr>
        <w:rPr>
          <w:b/>
        </w:rPr>
      </w:pPr>
      <w:r w:rsidRPr="0082376A">
        <w:rPr>
          <w:b/>
        </w:rPr>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551848" w:rsidRDefault="00B129DD" w:rsidP="00F178F7">
      <w:pPr>
        <w:rPr>
          <w:sz w:val="24"/>
          <w:szCs w:val="24"/>
        </w:rPr>
      </w:pPr>
      <w:r w:rsidRPr="00551848">
        <w:t>A medical school ensures that the medical education program has a single</w:t>
      </w:r>
      <w:r w:rsidR="00D919CE" w:rsidRPr="00551848">
        <w:t xml:space="preserve"> set of core</w:t>
      </w:r>
      <w:r w:rsidRPr="00551848">
        <w:t xml:space="preserve"> standard</w:t>
      </w:r>
      <w:r w:rsidR="00D919CE" w:rsidRPr="00551848">
        <w:t>s</w:t>
      </w:r>
      <w:r w:rsidRPr="00551848">
        <w:t xml:space="preserve"> for the advancement and graduation of</w:t>
      </w:r>
      <w:r w:rsidR="00D919CE" w:rsidRPr="00551848">
        <w:t xml:space="preserve"> all</w:t>
      </w:r>
      <w:r w:rsidRPr="00551848">
        <w:t xml:space="preserve"> medical students across all locations</w:t>
      </w:r>
      <w:r w:rsidR="009731E0" w:rsidRPr="00551848">
        <w:t>.</w:t>
      </w:r>
      <w:r w:rsidRPr="00551848">
        <w:t xml:space="preserve"> </w:t>
      </w:r>
      <w:r w:rsidR="009731E0" w:rsidRPr="00551848">
        <w:t xml:space="preserve">A subset of medical students may have academic requirements in addition to the core standards if they are enrolled in a parallel curriculum. A medical school ensures that there is </w:t>
      </w:r>
      <w:r w:rsidRPr="00551848">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551848">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195082590"/>
      <w:r w:rsidR="00E723FE" w:rsidRPr="000450AC">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2AEBF01C"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r w:rsidR="000C581B">
        <w:t xml:space="preserve"> A medical school requires regular student attestation to meeting the technical standards with or without reasonable accommodation as they progress through </w:t>
      </w:r>
      <w:r w:rsidR="00B55147">
        <w:t xml:space="preserve">the </w:t>
      </w:r>
      <w:r w:rsidR="00050BB5">
        <w:t xml:space="preserve">years or </w:t>
      </w:r>
      <w:r w:rsidR="00B55147">
        <w:t xml:space="preserve">phases of </w:t>
      </w:r>
      <w:r w:rsidR="000C581B">
        <w:t>the curriculum.</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5D2D83F2" w14:textId="19024ED8" w:rsidR="005C56D8" w:rsidRPr="0082376A" w:rsidRDefault="009D5875" w:rsidP="00F178F7">
      <w:r w:rsidRPr="009D5875">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195082591"/>
      <w:r w:rsidRPr="000450AC">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0B7BE4B2" w:rsidR="00E723FE" w:rsidRPr="0082376A" w:rsidRDefault="00E723FE" w:rsidP="00F178F7">
      <w:pPr>
        <w:rPr>
          <w:b/>
        </w:rPr>
      </w:pPr>
      <w:r w:rsidRPr="0082376A">
        <w:rPr>
          <w:b/>
        </w:rPr>
        <w:t xml:space="preserve">11.1 </w:t>
      </w:r>
      <w:r w:rsidR="00834499" w:rsidRPr="0082376A">
        <w:rPr>
          <w:b/>
        </w:rPr>
        <w:tab/>
      </w:r>
      <w:r w:rsidRPr="0082376A">
        <w:rPr>
          <w:b/>
        </w:rPr>
        <w:t>Academic Advising</w:t>
      </w:r>
      <w:r w:rsidR="00250644">
        <w:rPr>
          <w:b/>
        </w:rPr>
        <w:t xml:space="preserve"> and Academic Counseling</w:t>
      </w:r>
    </w:p>
    <w:p w14:paraId="09A50B65" w14:textId="77777777" w:rsidR="00E723FE" w:rsidRPr="0082376A" w:rsidRDefault="00E723FE" w:rsidP="00F178F7"/>
    <w:p w14:paraId="1BB2E13C" w14:textId="36895D69" w:rsidR="00E723FE" w:rsidRPr="0082376A" w:rsidRDefault="000B7CF3" w:rsidP="00F178F7">
      <w:r w:rsidRPr="0082376A">
        <w:t xml:space="preserve">A medical school has an effective system of academic advising in place for medical students that integrates the efforts of faculty members, course and clerkship directors, and student affairs staff with its counseling and tutorial services and </w:t>
      </w:r>
      <w:r w:rsidR="00250644">
        <w:t>provides</w:t>
      </w:r>
      <w:r w:rsidRPr="0082376A">
        <w:t xml:space="preserve"> medical students academic counseling</w:t>
      </w:r>
      <w:r w:rsidR="00250644">
        <w:t xml:space="preserve"> only</w:t>
      </w:r>
      <w:r w:rsidRPr="0082376A">
        <w:t xml:space="preserve">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4ED15624" w:rsidR="00E723FE" w:rsidRPr="0082376A" w:rsidRDefault="00E723FE" w:rsidP="00F178F7">
      <w:r w:rsidRPr="0082376A">
        <w:t xml:space="preserve">A medical school provides a Medical Student Performance Evaluation required for the residency application of a medical student </w:t>
      </w:r>
      <w:r w:rsidR="00250644">
        <w:t>to align with the AAMC/ERAS residency application timeline</w:t>
      </w:r>
      <w:r w:rsidRPr="0082376A">
        <w:t>.</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35389DD1" w:rsidR="00B24FFE" w:rsidRDefault="00B24FFE" w:rsidP="00F178F7"/>
    <w:p w14:paraId="62C456DB" w14:textId="77777777" w:rsidR="00E723FE" w:rsidRPr="0082376A" w:rsidRDefault="00E723FE" w:rsidP="00F178F7">
      <w:pPr>
        <w:rPr>
          <w:b/>
        </w:rPr>
      </w:pPr>
      <w:r w:rsidRPr="0082376A">
        <w:rPr>
          <w:b/>
        </w:rPr>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0E8DA2B" w14:textId="07375AF8" w:rsidR="00575215" w:rsidRPr="000450AC" w:rsidRDefault="00575215" w:rsidP="00DB5735">
      <w:pPr>
        <w:pStyle w:val="LCME"/>
      </w:pPr>
      <w:bookmarkStart w:id="65" w:name="_Toc446335880"/>
      <w:bookmarkStart w:id="66" w:name="_Toc195082592"/>
      <w:r w:rsidRPr="000450AC">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281C41C0" w:rsidR="00E723FE" w:rsidRPr="0082376A" w:rsidRDefault="00E723FE" w:rsidP="00F178F7">
      <w:pPr>
        <w:rPr>
          <w:b/>
        </w:rPr>
      </w:pPr>
      <w:r w:rsidRPr="0082376A">
        <w:rPr>
          <w:b/>
        </w:rPr>
        <w:t xml:space="preserve">12.3 </w:t>
      </w:r>
      <w:r w:rsidR="00834499" w:rsidRPr="0082376A">
        <w:rPr>
          <w:b/>
        </w:rPr>
        <w:tab/>
      </w:r>
      <w:r w:rsidRPr="0082376A">
        <w:rPr>
          <w:b/>
        </w:rPr>
        <w:t>Personal Counseling</w:t>
      </w:r>
      <w:r w:rsidR="00E54045">
        <w:rPr>
          <w:b/>
        </w:rPr>
        <w:t>/Mental Health</w:t>
      </w:r>
      <w:r w:rsidRPr="0082376A">
        <w:rPr>
          <w:b/>
        </w:rPr>
        <w:t>/Well-Being Programs</w:t>
      </w:r>
    </w:p>
    <w:p w14:paraId="0333D0AB" w14:textId="77777777" w:rsidR="00E723FE" w:rsidRPr="0082376A" w:rsidRDefault="00E723FE" w:rsidP="00F178F7"/>
    <w:p w14:paraId="75D8EC6F" w14:textId="4FE28A7B" w:rsidR="00E723FE" w:rsidRPr="0082376A" w:rsidRDefault="003027E7" w:rsidP="00F178F7">
      <w:r w:rsidRPr="0082376A">
        <w:t>A medical school has in place an effective system of counseling</w:t>
      </w:r>
      <w:r w:rsidR="00E54045">
        <w:t xml:space="preserve"> services</w:t>
      </w:r>
      <w:r w:rsidRPr="0082376A">
        <w:t xml:space="preserve">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73B13360" w14:textId="187290FF" w:rsidR="004E60D4" w:rsidRPr="004735DD" w:rsidRDefault="00212103" w:rsidP="000C6F96">
      <w:pPr>
        <w:pStyle w:val="LCME"/>
      </w:pPr>
      <w:r w:rsidRPr="0082376A">
        <w:rPr>
          <w:sz w:val="22"/>
          <w:szCs w:val="22"/>
          <w:highlight w:val="yellow"/>
        </w:rPr>
        <w:br w:type="page"/>
      </w:r>
    </w:p>
    <w:p w14:paraId="4AE1BD0A" w14:textId="2877293F" w:rsidR="008E5C3A" w:rsidRPr="000450AC" w:rsidRDefault="008E5C3A" w:rsidP="00E91287">
      <w:pPr>
        <w:rPr>
          <w:sz w:val="24"/>
          <w:szCs w:val="24"/>
        </w:rPr>
      </w:pPr>
    </w:p>
    <w:sectPr w:rsidR="008E5C3A" w:rsidRPr="000450AC" w:rsidSect="009914A6">
      <w:footerReference w:type="default" r:id="rId18"/>
      <w:footerReference w:type="first" r:id="rId19"/>
      <w:pgSz w:w="12240" w:h="15840"/>
      <w:pgMar w:top="1440" w:right="1152" w:bottom="100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D36B8" w14:textId="77777777" w:rsidR="00FD030E" w:rsidRDefault="00FD030E" w:rsidP="00705106">
      <w:r>
        <w:separator/>
      </w:r>
    </w:p>
    <w:p w14:paraId="558902E4" w14:textId="77777777" w:rsidR="00FD030E" w:rsidRDefault="00FD030E" w:rsidP="00705106"/>
    <w:p w14:paraId="0440BAB3" w14:textId="77777777" w:rsidR="00FD030E" w:rsidRDefault="00FD030E" w:rsidP="00705106"/>
  </w:endnote>
  <w:endnote w:type="continuationSeparator" w:id="0">
    <w:p w14:paraId="3D6F93EE" w14:textId="77777777" w:rsidR="00FD030E" w:rsidRDefault="00FD030E" w:rsidP="00705106">
      <w:r>
        <w:continuationSeparator/>
      </w:r>
    </w:p>
    <w:p w14:paraId="7C8AF231" w14:textId="77777777" w:rsidR="00FD030E" w:rsidRDefault="00FD030E" w:rsidP="00705106"/>
    <w:p w14:paraId="797A2EBE" w14:textId="77777777" w:rsidR="00FD030E" w:rsidRDefault="00FD030E"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27853"/>
      <w:docPartObj>
        <w:docPartGallery w:val="Page Numbers (Bottom of Page)"/>
        <w:docPartUnique/>
      </w:docPartObj>
    </w:sdtPr>
    <w:sdtEndPr>
      <w:rPr>
        <w:noProof/>
      </w:rPr>
    </w:sdtEndPr>
    <w:sdtContent>
      <w:p w14:paraId="1B1E02B4" w14:textId="3753D7AA" w:rsidR="00D03F64" w:rsidRDefault="000C6F96">
        <w:pPr>
          <w:pStyle w:val="Footer"/>
          <w:jc w:val="right"/>
        </w:pPr>
        <w:sdt>
          <w:sdtPr>
            <w:rPr>
              <w:sz w:val="20"/>
              <w:szCs w:val="20"/>
            </w:rPr>
            <w:id w:val="1158817660"/>
            <w:docPartObj>
              <w:docPartGallery w:val="Page Numbers (Top of Page)"/>
              <w:docPartUnique/>
            </w:docPartObj>
          </w:sdtPr>
          <w:sdtEndPr/>
          <w:sdtContent>
            <w:r w:rsidR="00D03F64" w:rsidRPr="00923C8D">
              <w:rPr>
                <w:sz w:val="20"/>
                <w:szCs w:val="20"/>
              </w:rPr>
              <w:t xml:space="preserve">LCME </w:t>
            </w:r>
            <w:r w:rsidR="00D03F64" w:rsidRPr="00923C8D">
              <w:rPr>
                <w:i/>
                <w:sz w:val="20"/>
                <w:szCs w:val="20"/>
              </w:rPr>
              <w:t>Functions and Structure of a Medical School</w:t>
            </w:r>
            <w:r w:rsidR="00AB3FAD">
              <w:rPr>
                <w:i/>
                <w:sz w:val="20"/>
                <w:szCs w:val="20"/>
              </w:rPr>
              <w:tab/>
            </w:r>
            <w:r w:rsidR="00AB3FAD">
              <w:rPr>
                <w:i/>
                <w:sz w:val="20"/>
                <w:szCs w:val="20"/>
              </w:rPr>
              <w:tab/>
            </w:r>
            <w:r w:rsidR="00D03F64" w:rsidRPr="00923C8D">
              <w:rPr>
                <w:bCs/>
                <w:sz w:val="20"/>
                <w:szCs w:val="20"/>
              </w:rPr>
              <w:fldChar w:fldCharType="begin"/>
            </w:r>
            <w:r w:rsidR="00D03F64" w:rsidRPr="00923C8D">
              <w:rPr>
                <w:bCs/>
                <w:sz w:val="20"/>
                <w:szCs w:val="20"/>
              </w:rPr>
              <w:instrText xml:space="preserve"> PAGE </w:instrText>
            </w:r>
            <w:r w:rsidR="00D03F64" w:rsidRPr="00923C8D">
              <w:rPr>
                <w:bCs/>
                <w:sz w:val="20"/>
                <w:szCs w:val="20"/>
              </w:rPr>
              <w:fldChar w:fldCharType="separate"/>
            </w:r>
            <w:r w:rsidR="00D03F64">
              <w:rPr>
                <w:bCs/>
                <w:noProof/>
                <w:sz w:val="20"/>
                <w:szCs w:val="20"/>
              </w:rPr>
              <w:t>2</w:t>
            </w:r>
            <w:r w:rsidR="00D03F64" w:rsidRPr="00923C8D">
              <w:rPr>
                <w:bCs/>
                <w:sz w:val="20"/>
                <w:szCs w:val="20"/>
              </w:rPr>
              <w:fldChar w:fldCharType="end"/>
            </w:r>
            <w:r w:rsidR="00D03F64">
              <w:rPr>
                <w:sz w:val="20"/>
                <w:szCs w:val="20"/>
              </w:rPr>
              <w:t xml:space="preserve"> </w:t>
            </w:r>
          </w:sdtContent>
        </w:sdt>
      </w:p>
    </w:sdtContent>
  </w:sdt>
  <w:p w14:paraId="483B9425" w14:textId="344A2298" w:rsidR="00D03F64" w:rsidRPr="00A90768" w:rsidRDefault="00D03F6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446"/>
      <w:docPartObj>
        <w:docPartGallery w:val="Page Numbers (Bottom of Page)"/>
        <w:docPartUnique/>
      </w:docPartObj>
    </w:sdtPr>
    <w:sdtEndPr>
      <w:rPr>
        <w:noProof/>
      </w:rPr>
    </w:sdtEndPr>
    <w:sdtContent>
      <w:p w14:paraId="4B20C6B2" w14:textId="77777777" w:rsidR="00D03F64" w:rsidRDefault="000C6F96">
        <w:pPr>
          <w:pStyle w:val="Footer"/>
          <w:jc w:val="right"/>
        </w:pPr>
      </w:p>
    </w:sdtContent>
  </w:sdt>
  <w:p w14:paraId="43737A6C" w14:textId="77777777" w:rsidR="00D03F64" w:rsidRDefault="00D0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121" w14:textId="353BDA90" w:rsidR="00D03F64" w:rsidRPr="00923C8D" w:rsidRDefault="00D03F6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D03F64" w:rsidRDefault="00D03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D03F64" w:rsidRPr="00923C8D" w:rsidRDefault="00D03F6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D03F64" w:rsidRPr="00A90768" w:rsidRDefault="00D03F64" w:rsidP="00705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3E4" w14:textId="7036478D" w:rsidR="00AB3FAD" w:rsidRPr="00923C8D" w:rsidRDefault="00AB3FAD"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r>
      <w:rPr>
        <w:sz w:val="20"/>
        <w:szCs w:val="20"/>
      </w:rPr>
      <w:t xml:space="preserve">Page </w:t>
    </w:r>
    <w:sdt>
      <w:sdtPr>
        <w:rPr>
          <w:sz w:val="20"/>
          <w:szCs w:val="20"/>
        </w:rPr>
        <w:id w:val="-48508384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1B4F6E10" w14:textId="77777777" w:rsidR="00AB3FAD" w:rsidRDefault="00AB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E03C" w14:textId="77777777" w:rsidR="00FD030E" w:rsidRDefault="00FD030E" w:rsidP="00705106">
      <w:r>
        <w:separator/>
      </w:r>
    </w:p>
    <w:p w14:paraId="26515A68" w14:textId="77777777" w:rsidR="00FD030E" w:rsidRDefault="00FD030E" w:rsidP="00705106"/>
    <w:p w14:paraId="1A0614E3" w14:textId="77777777" w:rsidR="00FD030E" w:rsidRDefault="00FD030E" w:rsidP="00705106"/>
  </w:footnote>
  <w:footnote w:type="continuationSeparator" w:id="0">
    <w:p w14:paraId="4156044D" w14:textId="77777777" w:rsidR="00FD030E" w:rsidRDefault="00FD030E" w:rsidP="00705106">
      <w:r>
        <w:continuationSeparator/>
      </w:r>
    </w:p>
    <w:p w14:paraId="1BEFD950" w14:textId="77777777" w:rsidR="00FD030E" w:rsidRDefault="00FD030E" w:rsidP="00705106"/>
    <w:p w14:paraId="5B7095A5" w14:textId="77777777" w:rsidR="00FD030E" w:rsidRDefault="00FD030E"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E71E" w14:textId="77777777" w:rsidR="00D03F64" w:rsidRDefault="00D03F6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D03F64" w:rsidRDefault="00D03F64" w:rsidP="00705106">
    <w:pPr>
      <w:pStyle w:val="Header"/>
    </w:pPr>
  </w:p>
  <w:p w14:paraId="4FC34DE2" w14:textId="77777777" w:rsidR="00D03F64" w:rsidRDefault="00D03F6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1917" w14:textId="7E313490" w:rsidR="00D03F64" w:rsidRPr="005B73EB" w:rsidRDefault="00D756E1" w:rsidP="006B0DB2">
    <w:pPr>
      <w:pStyle w:val="Header"/>
      <w:jc w:val="right"/>
      <w:rPr>
        <w:sz w:val="20"/>
        <w:szCs w:val="20"/>
      </w:rPr>
    </w:pPr>
    <w:r>
      <w:rPr>
        <w:sz w:val="20"/>
        <w:szCs w:val="20"/>
      </w:rPr>
      <w:t>April</w:t>
    </w:r>
    <w:r>
      <w:rPr>
        <w:sz w:val="20"/>
        <w:szCs w:val="20"/>
      </w:rPr>
      <w:t xml:space="preserve"> </w:t>
    </w:r>
    <w:r w:rsidR="000C581B">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80E2" w14:textId="77777777" w:rsidR="00D03F64" w:rsidRDefault="00D03F64">
    <w:pPr>
      <w:pStyle w:val="Header"/>
      <w:jc w:val="right"/>
    </w:pPr>
  </w:p>
  <w:p w14:paraId="7B7E4965" w14:textId="77777777" w:rsidR="00D03F64" w:rsidRDefault="00D03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2099"/>
      <w:docPartObj>
        <w:docPartGallery w:val="Page Numbers (Top of Page)"/>
        <w:docPartUnique/>
      </w:docPartObj>
    </w:sdtPr>
    <w:sdtEndPr>
      <w:rPr>
        <w:noProof/>
      </w:rPr>
    </w:sdtEndPr>
    <w:sdtContent>
      <w:p w14:paraId="0177F087" w14:textId="3850DAE2" w:rsidR="00D03F64" w:rsidRPr="00923C8D" w:rsidRDefault="00D756E1" w:rsidP="008C5455">
        <w:pPr>
          <w:pStyle w:val="Header"/>
          <w:jc w:val="right"/>
          <w:rPr>
            <w:sz w:val="20"/>
            <w:szCs w:val="20"/>
          </w:rPr>
        </w:pPr>
        <w:r>
          <w:t>April</w:t>
        </w:r>
        <w:r>
          <w:t xml:space="preserve"> </w:t>
        </w:r>
        <w:r w:rsidR="002D0313">
          <w:t>2025</w:t>
        </w:r>
      </w:p>
      <w:p w14:paraId="71530A23" w14:textId="77777777" w:rsidR="00D03F64" w:rsidRDefault="000C6F96">
        <w:pPr>
          <w:pStyle w:val="Header"/>
          <w:jc w:val="right"/>
        </w:pPr>
      </w:p>
    </w:sdtContent>
  </w:sdt>
  <w:p w14:paraId="19B8C92B" w14:textId="77777777" w:rsidR="00D03F64" w:rsidRDefault="00D0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945">
    <w:abstractNumId w:val="8"/>
  </w:num>
  <w:num w:numId="2" w16cid:durableId="496728690">
    <w:abstractNumId w:val="2"/>
  </w:num>
  <w:num w:numId="3" w16cid:durableId="1725984561">
    <w:abstractNumId w:val="5"/>
  </w:num>
  <w:num w:numId="4" w16cid:durableId="55979728">
    <w:abstractNumId w:val="10"/>
  </w:num>
  <w:num w:numId="5" w16cid:durableId="763648126">
    <w:abstractNumId w:val="3"/>
  </w:num>
  <w:num w:numId="6" w16cid:durableId="315111143">
    <w:abstractNumId w:val="6"/>
  </w:num>
  <w:num w:numId="7" w16cid:durableId="1203830871">
    <w:abstractNumId w:val="7"/>
  </w:num>
  <w:num w:numId="8" w16cid:durableId="1009022425">
    <w:abstractNumId w:val="0"/>
  </w:num>
  <w:num w:numId="9" w16cid:durableId="7138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07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73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59482">
    <w:abstractNumId w:val="4"/>
  </w:num>
  <w:num w:numId="15" w16cid:durableId="606426935">
    <w:abstractNumId w:val="1"/>
  </w:num>
  <w:num w:numId="16" w16cid:durableId="993780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37F0"/>
    <w:rsid w:val="00004D84"/>
    <w:rsid w:val="00015EB2"/>
    <w:rsid w:val="000161C4"/>
    <w:rsid w:val="0003054F"/>
    <w:rsid w:val="00031CE2"/>
    <w:rsid w:val="00036C01"/>
    <w:rsid w:val="0004327D"/>
    <w:rsid w:val="000450AC"/>
    <w:rsid w:val="00050BB5"/>
    <w:rsid w:val="000611E0"/>
    <w:rsid w:val="0006655A"/>
    <w:rsid w:val="0006694E"/>
    <w:rsid w:val="00081805"/>
    <w:rsid w:val="00082B4D"/>
    <w:rsid w:val="00085D83"/>
    <w:rsid w:val="00086EF2"/>
    <w:rsid w:val="00094E38"/>
    <w:rsid w:val="00094ECE"/>
    <w:rsid w:val="00096DDD"/>
    <w:rsid w:val="000A024A"/>
    <w:rsid w:val="000A0713"/>
    <w:rsid w:val="000A1650"/>
    <w:rsid w:val="000A56E7"/>
    <w:rsid w:val="000B0381"/>
    <w:rsid w:val="000B18FF"/>
    <w:rsid w:val="000B2B99"/>
    <w:rsid w:val="000B444F"/>
    <w:rsid w:val="000B456E"/>
    <w:rsid w:val="000B65F4"/>
    <w:rsid w:val="000B7CF3"/>
    <w:rsid w:val="000C0133"/>
    <w:rsid w:val="000C581B"/>
    <w:rsid w:val="000C6800"/>
    <w:rsid w:val="000C6937"/>
    <w:rsid w:val="000C6F96"/>
    <w:rsid w:val="000C705F"/>
    <w:rsid w:val="000D0333"/>
    <w:rsid w:val="000D0A44"/>
    <w:rsid w:val="000D3C3F"/>
    <w:rsid w:val="000D76DB"/>
    <w:rsid w:val="000E1393"/>
    <w:rsid w:val="000E20CE"/>
    <w:rsid w:val="000E2A09"/>
    <w:rsid w:val="000F1E38"/>
    <w:rsid w:val="000F3495"/>
    <w:rsid w:val="000F49DC"/>
    <w:rsid w:val="000F79DE"/>
    <w:rsid w:val="00101599"/>
    <w:rsid w:val="00102EC0"/>
    <w:rsid w:val="00103E47"/>
    <w:rsid w:val="001111CA"/>
    <w:rsid w:val="0011459A"/>
    <w:rsid w:val="00116FDD"/>
    <w:rsid w:val="00121048"/>
    <w:rsid w:val="00121219"/>
    <w:rsid w:val="00124D9E"/>
    <w:rsid w:val="00125FD8"/>
    <w:rsid w:val="001301FA"/>
    <w:rsid w:val="00134B7F"/>
    <w:rsid w:val="00140641"/>
    <w:rsid w:val="00141DDB"/>
    <w:rsid w:val="00143BA9"/>
    <w:rsid w:val="0014419F"/>
    <w:rsid w:val="0015020E"/>
    <w:rsid w:val="00150908"/>
    <w:rsid w:val="0015344A"/>
    <w:rsid w:val="0015364E"/>
    <w:rsid w:val="00153F3B"/>
    <w:rsid w:val="00154904"/>
    <w:rsid w:val="00156469"/>
    <w:rsid w:val="00157994"/>
    <w:rsid w:val="00161ECF"/>
    <w:rsid w:val="001641BF"/>
    <w:rsid w:val="001652DC"/>
    <w:rsid w:val="0016762D"/>
    <w:rsid w:val="00170E0E"/>
    <w:rsid w:val="00171637"/>
    <w:rsid w:val="00176165"/>
    <w:rsid w:val="00181150"/>
    <w:rsid w:val="00181F44"/>
    <w:rsid w:val="001836A1"/>
    <w:rsid w:val="001955F5"/>
    <w:rsid w:val="00195F41"/>
    <w:rsid w:val="001A162A"/>
    <w:rsid w:val="001A5471"/>
    <w:rsid w:val="001B1EBC"/>
    <w:rsid w:val="001B42D3"/>
    <w:rsid w:val="001C08FF"/>
    <w:rsid w:val="001C34EA"/>
    <w:rsid w:val="001C3C24"/>
    <w:rsid w:val="001C3E0E"/>
    <w:rsid w:val="001C485A"/>
    <w:rsid w:val="001D0C98"/>
    <w:rsid w:val="001D1858"/>
    <w:rsid w:val="001D4865"/>
    <w:rsid w:val="001E0381"/>
    <w:rsid w:val="001E0BD1"/>
    <w:rsid w:val="001E1AE3"/>
    <w:rsid w:val="001E1EC2"/>
    <w:rsid w:val="001E385D"/>
    <w:rsid w:val="001E3BB1"/>
    <w:rsid w:val="001E58F4"/>
    <w:rsid w:val="001E5B38"/>
    <w:rsid w:val="001E7091"/>
    <w:rsid w:val="001E7C89"/>
    <w:rsid w:val="001F56B5"/>
    <w:rsid w:val="001F5D39"/>
    <w:rsid w:val="001F6D29"/>
    <w:rsid w:val="00205AA1"/>
    <w:rsid w:val="00205D20"/>
    <w:rsid w:val="00211F4E"/>
    <w:rsid w:val="00212103"/>
    <w:rsid w:val="0021260E"/>
    <w:rsid w:val="00212B31"/>
    <w:rsid w:val="00213B00"/>
    <w:rsid w:val="00214154"/>
    <w:rsid w:val="00217C32"/>
    <w:rsid w:val="00220E20"/>
    <w:rsid w:val="00224F85"/>
    <w:rsid w:val="002250F0"/>
    <w:rsid w:val="0022604C"/>
    <w:rsid w:val="00232A22"/>
    <w:rsid w:val="0023443F"/>
    <w:rsid w:val="00236BDE"/>
    <w:rsid w:val="00240B3A"/>
    <w:rsid w:val="00241667"/>
    <w:rsid w:val="002420B7"/>
    <w:rsid w:val="00244F0A"/>
    <w:rsid w:val="00245868"/>
    <w:rsid w:val="00250644"/>
    <w:rsid w:val="002526BC"/>
    <w:rsid w:val="002536AB"/>
    <w:rsid w:val="002565CE"/>
    <w:rsid w:val="00260300"/>
    <w:rsid w:val="00262574"/>
    <w:rsid w:val="00262FB9"/>
    <w:rsid w:val="00263FFD"/>
    <w:rsid w:val="00267487"/>
    <w:rsid w:val="002759D5"/>
    <w:rsid w:val="0027756D"/>
    <w:rsid w:val="00280A82"/>
    <w:rsid w:val="00282E8D"/>
    <w:rsid w:val="00285190"/>
    <w:rsid w:val="00285C17"/>
    <w:rsid w:val="002863E3"/>
    <w:rsid w:val="002938DD"/>
    <w:rsid w:val="00296B8F"/>
    <w:rsid w:val="002A0AB4"/>
    <w:rsid w:val="002A0BED"/>
    <w:rsid w:val="002A1AA4"/>
    <w:rsid w:val="002A56CB"/>
    <w:rsid w:val="002A783B"/>
    <w:rsid w:val="002B2692"/>
    <w:rsid w:val="002B3C35"/>
    <w:rsid w:val="002B4474"/>
    <w:rsid w:val="002B4E51"/>
    <w:rsid w:val="002B5348"/>
    <w:rsid w:val="002B558A"/>
    <w:rsid w:val="002B5DE4"/>
    <w:rsid w:val="002C35BA"/>
    <w:rsid w:val="002C3752"/>
    <w:rsid w:val="002C5785"/>
    <w:rsid w:val="002C5DA5"/>
    <w:rsid w:val="002C7E96"/>
    <w:rsid w:val="002D0313"/>
    <w:rsid w:val="002D2429"/>
    <w:rsid w:val="002D378D"/>
    <w:rsid w:val="002D75B0"/>
    <w:rsid w:val="002E1222"/>
    <w:rsid w:val="002E2321"/>
    <w:rsid w:val="002E5414"/>
    <w:rsid w:val="002F1C69"/>
    <w:rsid w:val="002F7002"/>
    <w:rsid w:val="003027E7"/>
    <w:rsid w:val="003034FF"/>
    <w:rsid w:val="003108A6"/>
    <w:rsid w:val="00310CAF"/>
    <w:rsid w:val="003154B5"/>
    <w:rsid w:val="00327557"/>
    <w:rsid w:val="00334F4B"/>
    <w:rsid w:val="003364FA"/>
    <w:rsid w:val="00342FB3"/>
    <w:rsid w:val="003515C1"/>
    <w:rsid w:val="00351EB2"/>
    <w:rsid w:val="00353D77"/>
    <w:rsid w:val="0035482B"/>
    <w:rsid w:val="003568E1"/>
    <w:rsid w:val="00361792"/>
    <w:rsid w:val="0036234E"/>
    <w:rsid w:val="00363272"/>
    <w:rsid w:val="00365662"/>
    <w:rsid w:val="003662B3"/>
    <w:rsid w:val="0037589A"/>
    <w:rsid w:val="00381088"/>
    <w:rsid w:val="0038194E"/>
    <w:rsid w:val="0038358B"/>
    <w:rsid w:val="0038380D"/>
    <w:rsid w:val="00383CE5"/>
    <w:rsid w:val="00384FAB"/>
    <w:rsid w:val="00387B49"/>
    <w:rsid w:val="0039359E"/>
    <w:rsid w:val="0039514B"/>
    <w:rsid w:val="00395DE8"/>
    <w:rsid w:val="003A1965"/>
    <w:rsid w:val="003A29F8"/>
    <w:rsid w:val="003A47DB"/>
    <w:rsid w:val="003B01D0"/>
    <w:rsid w:val="003B1898"/>
    <w:rsid w:val="003B74BC"/>
    <w:rsid w:val="003C116A"/>
    <w:rsid w:val="003C4840"/>
    <w:rsid w:val="003C7EB3"/>
    <w:rsid w:val="003D5385"/>
    <w:rsid w:val="003D6D7A"/>
    <w:rsid w:val="003D73B0"/>
    <w:rsid w:val="003E0882"/>
    <w:rsid w:val="003E0B40"/>
    <w:rsid w:val="003E159A"/>
    <w:rsid w:val="003E28B5"/>
    <w:rsid w:val="003E5EF3"/>
    <w:rsid w:val="003E6733"/>
    <w:rsid w:val="003E782A"/>
    <w:rsid w:val="003F108B"/>
    <w:rsid w:val="003F1456"/>
    <w:rsid w:val="003F57B1"/>
    <w:rsid w:val="003F6BAD"/>
    <w:rsid w:val="003F6F0E"/>
    <w:rsid w:val="00406C95"/>
    <w:rsid w:val="0041564F"/>
    <w:rsid w:val="00415A3B"/>
    <w:rsid w:val="00427D3C"/>
    <w:rsid w:val="00427E2F"/>
    <w:rsid w:val="004357FE"/>
    <w:rsid w:val="004359B7"/>
    <w:rsid w:val="00435F18"/>
    <w:rsid w:val="00436D8A"/>
    <w:rsid w:val="0043795C"/>
    <w:rsid w:val="00441CAB"/>
    <w:rsid w:val="00447AE2"/>
    <w:rsid w:val="004534F6"/>
    <w:rsid w:val="004540A3"/>
    <w:rsid w:val="00454ADE"/>
    <w:rsid w:val="00454D37"/>
    <w:rsid w:val="00455F4A"/>
    <w:rsid w:val="00460749"/>
    <w:rsid w:val="004607F7"/>
    <w:rsid w:val="0046128A"/>
    <w:rsid w:val="00461731"/>
    <w:rsid w:val="00465F4E"/>
    <w:rsid w:val="0046607E"/>
    <w:rsid w:val="00470453"/>
    <w:rsid w:val="00473ECD"/>
    <w:rsid w:val="00475999"/>
    <w:rsid w:val="0048323B"/>
    <w:rsid w:val="00484975"/>
    <w:rsid w:val="004878A5"/>
    <w:rsid w:val="004918E9"/>
    <w:rsid w:val="004932A1"/>
    <w:rsid w:val="00494F94"/>
    <w:rsid w:val="00496EFC"/>
    <w:rsid w:val="004A2456"/>
    <w:rsid w:val="004A2843"/>
    <w:rsid w:val="004A3CA8"/>
    <w:rsid w:val="004B0E14"/>
    <w:rsid w:val="004B21C3"/>
    <w:rsid w:val="004B5C51"/>
    <w:rsid w:val="004B5ECA"/>
    <w:rsid w:val="004C11E9"/>
    <w:rsid w:val="004C35B0"/>
    <w:rsid w:val="004C5B18"/>
    <w:rsid w:val="004C5B4D"/>
    <w:rsid w:val="004C78BA"/>
    <w:rsid w:val="004D2E18"/>
    <w:rsid w:val="004D4A43"/>
    <w:rsid w:val="004E60D4"/>
    <w:rsid w:val="004F5969"/>
    <w:rsid w:val="004F5F01"/>
    <w:rsid w:val="00501932"/>
    <w:rsid w:val="00505219"/>
    <w:rsid w:val="00507767"/>
    <w:rsid w:val="00510A33"/>
    <w:rsid w:val="00512C91"/>
    <w:rsid w:val="00512E4D"/>
    <w:rsid w:val="0051467F"/>
    <w:rsid w:val="00516271"/>
    <w:rsid w:val="005233D4"/>
    <w:rsid w:val="00525567"/>
    <w:rsid w:val="00526AE3"/>
    <w:rsid w:val="005303BD"/>
    <w:rsid w:val="00531675"/>
    <w:rsid w:val="005324B5"/>
    <w:rsid w:val="0053361F"/>
    <w:rsid w:val="00534050"/>
    <w:rsid w:val="005347D5"/>
    <w:rsid w:val="00535F33"/>
    <w:rsid w:val="00536856"/>
    <w:rsid w:val="00542978"/>
    <w:rsid w:val="00551341"/>
    <w:rsid w:val="00551848"/>
    <w:rsid w:val="00552B84"/>
    <w:rsid w:val="00554A7F"/>
    <w:rsid w:val="0055688E"/>
    <w:rsid w:val="00557FD2"/>
    <w:rsid w:val="00561427"/>
    <w:rsid w:val="00567FF6"/>
    <w:rsid w:val="00572243"/>
    <w:rsid w:val="005748EF"/>
    <w:rsid w:val="00575215"/>
    <w:rsid w:val="00584735"/>
    <w:rsid w:val="00585AFA"/>
    <w:rsid w:val="005875D0"/>
    <w:rsid w:val="005875E0"/>
    <w:rsid w:val="00594117"/>
    <w:rsid w:val="00596AA2"/>
    <w:rsid w:val="005A08EB"/>
    <w:rsid w:val="005A1F8B"/>
    <w:rsid w:val="005A5D00"/>
    <w:rsid w:val="005B109E"/>
    <w:rsid w:val="005B19DE"/>
    <w:rsid w:val="005B2394"/>
    <w:rsid w:val="005B3174"/>
    <w:rsid w:val="005B73EB"/>
    <w:rsid w:val="005C4178"/>
    <w:rsid w:val="005C4BC5"/>
    <w:rsid w:val="005C4BE3"/>
    <w:rsid w:val="005C56D8"/>
    <w:rsid w:val="005C62B7"/>
    <w:rsid w:val="005C7C5E"/>
    <w:rsid w:val="005D2364"/>
    <w:rsid w:val="005D4413"/>
    <w:rsid w:val="005E360F"/>
    <w:rsid w:val="005E418A"/>
    <w:rsid w:val="005E669F"/>
    <w:rsid w:val="005F0D9D"/>
    <w:rsid w:val="00600242"/>
    <w:rsid w:val="006111AD"/>
    <w:rsid w:val="00612227"/>
    <w:rsid w:val="00612670"/>
    <w:rsid w:val="006129D0"/>
    <w:rsid w:val="00613476"/>
    <w:rsid w:val="0061708B"/>
    <w:rsid w:val="00617F3A"/>
    <w:rsid w:val="006205CA"/>
    <w:rsid w:val="00621B5B"/>
    <w:rsid w:val="006268DB"/>
    <w:rsid w:val="00626E9B"/>
    <w:rsid w:val="006275C6"/>
    <w:rsid w:val="00630C37"/>
    <w:rsid w:val="00633417"/>
    <w:rsid w:val="00635401"/>
    <w:rsid w:val="00645361"/>
    <w:rsid w:val="0064559F"/>
    <w:rsid w:val="00652FC7"/>
    <w:rsid w:val="00657D33"/>
    <w:rsid w:val="00662F52"/>
    <w:rsid w:val="00664905"/>
    <w:rsid w:val="00666EC2"/>
    <w:rsid w:val="00673AE8"/>
    <w:rsid w:val="00673BAA"/>
    <w:rsid w:val="00673C92"/>
    <w:rsid w:val="006772EC"/>
    <w:rsid w:val="00682F81"/>
    <w:rsid w:val="00686F7D"/>
    <w:rsid w:val="0068755D"/>
    <w:rsid w:val="006878D8"/>
    <w:rsid w:val="00687E50"/>
    <w:rsid w:val="00690D43"/>
    <w:rsid w:val="00690E6D"/>
    <w:rsid w:val="006926E1"/>
    <w:rsid w:val="00694322"/>
    <w:rsid w:val="00695307"/>
    <w:rsid w:val="006A0E19"/>
    <w:rsid w:val="006A630E"/>
    <w:rsid w:val="006A6909"/>
    <w:rsid w:val="006B0418"/>
    <w:rsid w:val="006B043A"/>
    <w:rsid w:val="006B0DB2"/>
    <w:rsid w:val="006B3417"/>
    <w:rsid w:val="006B6657"/>
    <w:rsid w:val="006B733B"/>
    <w:rsid w:val="006B76AF"/>
    <w:rsid w:val="006C1F50"/>
    <w:rsid w:val="006C3276"/>
    <w:rsid w:val="006C6E4C"/>
    <w:rsid w:val="006C7A71"/>
    <w:rsid w:val="006C7DAF"/>
    <w:rsid w:val="006D180B"/>
    <w:rsid w:val="006E111F"/>
    <w:rsid w:val="006E16BB"/>
    <w:rsid w:val="006E77C5"/>
    <w:rsid w:val="006F14E6"/>
    <w:rsid w:val="006F5B28"/>
    <w:rsid w:val="006F6651"/>
    <w:rsid w:val="007023A7"/>
    <w:rsid w:val="00702EA7"/>
    <w:rsid w:val="00704E13"/>
    <w:rsid w:val="00705106"/>
    <w:rsid w:val="00706939"/>
    <w:rsid w:val="00710134"/>
    <w:rsid w:val="0071032A"/>
    <w:rsid w:val="00710CE4"/>
    <w:rsid w:val="00710F60"/>
    <w:rsid w:val="00711982"/>
    <w:rsid w:val="007133FD"/>
    <w:rsid w:val="0071576D"/>
    <w:rsid w:val="007201B6"/>
    <w:rsid w:val="007229C1"/>
    <w:rsid w:val="00722A23"/>
    <w:rsid w:val="007235CD"/>
    <w:rsid w:val="007310E3"/>
    <w:rsid w:val="007332C8"/>
    <w:rsid w:val="007336E3"/>
    <w:rsid w:val="007348B7"/>
    <w:rsid w:val="00734A45"/>
    <w:rsid w:val="00734AE2"/>
    <w:rsid w:val="0073603F"/>
    <w:rsid w:val="007374C9"/>
    <w:rsid w:val="007412AF"/>
    <w:rsid w:val="00742361"/>
    <w:rsid w:val="00743AE7"/>
    <w:rsid w:val="0074464C"/>
    <w:rsid w:val="00744DCA"/>
    <w:rsid w:val="00750409"/>
    <w:rsid w:val="00756A50"/>
    <w:rsid w:val="0075730F"/>
    <w:rsid w:val="007605A7"/>
    <w:rsid w:val="00763904"/>
    <w:rsid w:val="007705CC"/>
    <w:rsid w:val="00774048"/>
    <w:rsid w:val="007748DB"/>
    <w:rsid w:val="007763FE"/>
    <w:rsid w:val="00780075"/>
    <w:rsid w:val="0079129B"/>
    <w:rsid w:val="00792503"/>
    <w:rsid w:val="0079438E"/>
    <w:rsid w:val="007A00DD"/>
    <w:rsid w:val="007A036A"/>
    <w:rsid w:val="007A3494"/>
    <w:rsid w:val="007B0472"/>
    <w:rsid w:val="007B56C5"/>
    <w:rsid w:val="007C006D"/>
    <w:rsid w:val="007C06D0"/>
    <w:rsid w:val="007D31E7"/>
    <w:rsid w:val="007D3B82"/>
    <w:rsid w:val="007D68F5"/>
    <w:rsid w:val="007D7501"/>
    <w:rsid w:val="007E0B9E"/>
    <w:rsid w:val="007E1C93"/>
    <w:rsid w:val="007E1D12"/>
    <w:rsid w:val="007E2B13"/>
    <w:rsid w:val="007F0212"/>
    <w:rsid w:val="007F094A"/>
    <w:rsid w:val="007F2989"/>
    <w:rsid w:val="007F445F"/>
    <w:rsid w:val="007F669F"/>
    <w:rsid w:val="00800539"/>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99E"/>
    <w:rsid w:val="00875B63"/>
    <w:rsid w:val="008841C1"/>
    <w:rsid w:val="00884AFA"/>
    <w:rsid w:val="0088753E"/>
    <w:rsid w:val="008952BB"/>
    <w:rsid w:val="008A10DE"/>
    <w:rsid w:val="008A1D76"/>
    <w:rsid w:val="008A254B"/>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D68A8"/>
    <w:rsid w:val="008D730B"/>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1FC9"/>
    <w:rsid w:val="00934B32"/>
    <w:rsid w:val="00935DC7"/>
    <w:rsid w:val="00936712"/>
    <w:rsid w:val="00937435"/>
    <w:rsid w:val="0094009E"/>
    <w:rsid w:val="009407FF"/>
    <w:rsid w:val="00941707"/>
    <w:rsid w:val="00945084"/>
    <w:rsid w:val="0094550E"/>
    <w:rsid w:val="009474EB"/>
    <w:rsid w:val="009505D0"/>
    <w:rsid w:val="00950D19"/>
    <w:rsid w:val="009523F3"/>
    <w:rsid w:val="00952F97"/>
    <w:rsid w:val="00954DDA"/>
    <w:rsid w:val="009553F8"/>
    <w:rsid w:val="00956451"/>
    <w:rsid w:val="009605A4"/>
    <w:rsid w:val="00962ABF"/>
    <w:rsid w:val="00963365"/>
    <w:rsid w:val="0096588B"/>
    <w:rsid w:val="0096672A"/>
    <w:rsid w:val="009731E0"/>
    <w:rsid w:val="0097417D"/>
    <w:rsid w:val="00975229"/>
    <w:rsid w:val="0098274C"/>
    <w:rsid w:val="0098720A"/>
    <w:rsid w:val="009913B9"/>
    <w:rsid w:val="009914A6"/>
    <w:rsid w:val="00991D6B"/>
    <w:rsid w:val="00995A38"/>
    <w:rsid w:val="009A080C"/>
    <w:rsid w:val="009A303C"/>
    <w:rsid w:val="009A3B2D"/>
    <w:rsid w:val="009A3ECE"/>
    <w:rsid w:val="009A4407"/>
    <w:rsid w:val="009A5C52"/>
    <w:rsid w:val="009B2B65"/>
    <w:rsid w:val="009B3DFD"/>
    <w:rsid w:val="009B59D9"/>
    <w:rsid w:val="009B6A7E"/>
    <w:rsid w:val="009C0375"/>
    <w:rsid w:val="009C2224"/>
    <w:rsid w:val="009C26E8"/>
    <w:rsid w:val="009C2CD3"/>
    <w:rsid w:val="009C2E14"/>
    <w:rsid w:val="009D1205"/>
    <w:rsid w:val="009D2B63"/>
    <w:rsid w:val="009D2C4D"/>
    <w:rsid w:val="009D322C"/>
    <w:rsid w:val="009D439A"/>
    <w:rsid w:val="009D5875"/>
    <w:rsid w:val="009E629F"/>
    <w:rsid w:val="009E62EC"/>
    <w:rsid w:val="009F5756"/>
    <w:rsid w:val="00A03D42"/>
    <w:rsid w:val="00A06945"/>
    <w:rsid w:val="00A1095A"/>
    <w:rsid w:val="00A155B3"/>
    <w:rsid w:val="00A1765B"/>
    <w:rsid w:val="00A24267"/>
    <w:rsid w:val="00A2519E"/>
    <w:rsid w:val="00A26626"/>
    <w:rsid w:val="00A32ED7"/>
    <w:rsid w:val="00A32FB1"/>
    <w:rsid w:val="00A3356F"/>
    <w:rsid w:val="00A37D91"/>
    <w:rsid w:val="00A41270"/>
    <w:rsid w:val="00A41DA5"/>
    <w:rsid w:val="00A432B4"/>
    <w:rsid w:val="00A53253"/>
    <w:rsid w:val="00A61772"/>
    <w:rsid w:val="00A6191C"/>
    <w:rsid w:val="00A61C76"/>
    <w:rsid w:val="00A62E82"/>
    <w:rsid w:val="00A65BEE"/>
    <w:rsid w:val="00A705B3"/>
    <w:rsid w:val="00A739D4"/>
    <w:rsid w:val="00A75D69"/>
    <w:rsid w:val="00A90768"/>
    <w:rsid w:val="00AA6EC0"/>
    <w:rsid w:val="00AA7E39"/>
    <w:rsid w:val="00AB25F4"/>
    <w:rsid w:val="00AB3FAD"/>
    <w:rsid w:val="00AB489B"/>
    <w:rsid w:val="00AB62C0"/>
    <w:rsid w:val="00AC4ADF"/>
    <w:rsid w:val="00AC5499"/>
    <w:rsid w:val="00AD0513"/>
    <w:rsid w:val="00AD4BB6"/>
    <w:rsid w:val="00AD4DF8"/>
    <w:rsid w:val="00AD6259"/>
    <w:rsid w:val="00AE3878"/>
    <w:rsid w:val="00AE50FF"/>
    <w:rsid w:val="00AE7198"/>
    <w:rsid w:val="00AE7BA5"/>
    <w:rsid w:val="00AF4472"/>
    <w:rsid w:val="00AF5BFB"/>
    <w:rsid w:val="00AF77B8"/>
    <w:rsid w:val="00B10A69"/>
    <w:rsid w:val="00B10FD1"/>
    <w:rsid w:val="00B129DD"/>
    <w:rsid w:val="00B15B06"/>
    <w:rsid w:val="00B17FD8"/>
    <w:rsid w:val="00B23DBA"/>
    <w:rsid w:val="00B24FFE"/>
    <w:rsid w:val="00B25116"/>
    <w:rsid w:val="00B3179B"/>
    <w:rsid w:val="00B31B90"/>
    <w:rsid w:val="00B3438B"/>
    <w:rsid w:val="00B34C3F"/>
    <w:rsid w:val="00B37AEB"/>
    <w:rsid w:val="00B42B79"/>
    <w:rsid w:val="00B43CCB"/>
    <w:rsid w:val="00B47C1A"/>
    <w:rsid w:val="00B53625"/>
    <w:rsid w:val="00B55147"/>
    <w:rsid w:val="00B5756E"/>
    <w:rsid w:val="00B60EEA"/>
    <w:rsid w:val="00B6724D"/>
    <w:rsid w:val="00B7338F"/>
    <w:rsid w:val="00B75724"/>
    <w:rsid w:val="00B77482"/>
    <w:rsid w:val="00B80D53"/>
    <w:rsid w:val="00B82B3E"/>
    <w:rsid w:val="00B8599B"/>
    <w:rsid w:val="00B862E7"/>
    <w:rsid w:val="00B86C6D"/>
    <w:rsid w:val="00B9082E"/>
    <w:rsid w:val="00B91EC7"/>
    <w:rsid w:val="00B948C0"/>
    <w:rsid w:val="00BA03D0"/>
    <w:rsid w:val="00BA1F7C"/>
    <w:rsid w:val="00BB1C86"/>
    <w:rsid w:val="00BB4E7A"/>
    <w:rsid w:val="00BC0EBC"/>
    <w:rsid w:val="00BC42D4"/>
    <w:rsid w:val="00BC48C4"/>
    <w:rsid w:val="00BC4E36"/>
    <w:rsid w:val="00BC6F85"/>
    <w:rsid w:val="00BC777D"/>
    <w:rsid w:val="00BD477A"/>
    <w:rsid w:val="00BD685B"/>
    <w:rsid w:val="00BE1B2D"/>
    <w:rsid w:val="00BE559A"/>
    <w:rsid w:val="00BE69DD"/>
    <w:rsid w:val="00BE6DF7"/>
    <w:rsid w:val="00BF7A46"/>
    <w:rsid w:val="00C0140C"/>
    <w:rsid w:val="00C03192"/>
    <w:rsid w:val="00C03B3F"/>
    <w:rsid w:val="00C064BC"/>
    <w:rsid w:val="00C06DB5"/>
    <w:rsid w:val="00C077B0"/>
    <w:rsid w:val="00C12F91"/>
    <w:rsid w:val="00C15458"/>
    <w:rsid w:val="00C21669"/>
    <w:rsid w:val="00C24D88"/>
    <w:rsid w:val="00C268F1"/>
    <w:rsid w:val="00C30A87"/>
    <w:rsid w:val="00C30C4D"/>
    <w:rsid w:val="00C31B30"/>
    <w:rsid w:val="00C32383"/>
    <w:rsid w:val="00C329C5"/>
    <w:rsid w:val="00C36BDA"/>
    <w:rsid w:val="00C36D9A"/>
    <w:rsid w:val="00C4049A"/>
    <w:rsid w:val="00C45C63"/>
    <w:rsid w:val="00C45ED7"/>
    <w:rsid w:val="00C479A2"/>
    <w:rsid w:val="00C53765"/>
    <w:rsid w:val="00C55335"/>
    <w:rsid w:val="00C61C3E"/>
    <w:rsid w:val="00C6525D"/>
    <w:rsid w:val="00C74FDC"/>
    <w:rsid w:val="00C754D8"/>
    <w:rsid w:val="00C80B48"/>
    <w:rsid w:val="00C8247B"/>
    <w:rsid w:val="00C82566"/>
    <w:rsid w:val="00C8288A"/>
    <w:rsid w:val="00C82EB3"/>
    <w:rsid w:val="00C85745"/>
    <w:rsid w:val="00C907C7"/>
    <w:rsid w:val="00C93486"/>
    <w:rsid w:val="00CA0900"/>
    <w:rsid w:val="00CA33C4"/>
    <w:rsid w:val="00CA6E24"/>
    <w:rsid w:val="00CB0EC4"/>
    <w:rsid w:val="00CB21B4"/>
    <w:rsid w:val="00CB491F"/>
    <w:rsid w:val="00CB58BA"/>
    <w:rsid w:val="00CB7A6A"/>
    <w:rsid w:val="00CC4BF4"/>
    <w:rsid w:val="00CC7F9E"/>
    <w:rsid w:val="00CD3D69"/>
    <w:rsid w:val="00CD607D"/>
    <w:rsid w:val="00CD622C"/>
    <w:rsid w:val="00CD65BC"/>
    <w:rsid w:val="00CE0758"/>
    <w:rsid w:val="00CE142A"/>
    <w:rsid w:val="00CE2D4B"/>
    <w:rsid w:val="00CE776B"/>
    <w:rsid w:val="00CF05CF"/>
    <w:rsid w:val="00CF117C"/>
    <w:rsid w:val="00CF2A4E"/>
    <w:rsid w:val="00CF413D"/>
    <w:rsid w:val="00CF6B5C"/>
    <w:rsid w:val="00D013AE"/>
    <w:rsid w:val="00D03F64"/>
    <w:rsid w:val="00D04534"/>
    <w:rsid w:val="00D0785B"/>
    <w:rsid w:val="00D12E26"/>
    <w:rsid w:val="00D13CEC"/>
    <w:rsid w:val="00D15ECF"/>
    <w:rsid w:val="00D20B7F"/>
    <w:rsid w:val="00D23044"/>
    <w:rsid w:val="00D23B4F"/>
    <w:rsid w:val="00D24DB3"/>
    <w:rsid w:val="00D312CB"/>
    <w:rsid w:val="00D31ABE"/>
    <w:rsid w:val="00D3246E"/>
    <w:rsid w:val="00D342A8"/>
    <w:rsid w:val="00D346ED"/>
    <w:rsid w:val="00D4009C"/>
    <w:rsid w:val="00D45C95"/>
    <w:rsid w:val="00D535C0"/>
    <w:rsid w:val="00D565D1"/>
    <w:rsid w:val="00D572AB"/>
    <w:rsid w:val="00D574C8"/>
    <w:rsid w:val="00D57903"/>
    <w:rsid w:val="00D67430"/>
    <w:rsid w:val="00D706E4"/>
    <w:rsid w:val="00D71540"/>
    <w:rsid w:val="00D71C2A"/>
    <w:rsid w:val="00D756E1"/>
    <w:rsid w:val="00D804DE"/>
    <w:rsid w:val="00D821B0"/>
    <w:rsid w:val="00D82DF5"/>
    <w:rsid w:val="00D87BE2"/>
    <w:rsid w:val="00D87E08"/>
    <w:rsid w:val="00D919CE"/>
    <w:rsid w:val="00D925A7"/>
    <w:rsid w:val="00D94AC1"/>
    <w:rsid w:val="00D94B66"/>
    <w:rsid w:val="00D95D57"/>
    <w:rsid w:val="00D96AD6"/>
    <w:rsid w:val="00DA1058"/>
    <w:rsid w:val="00DA1F31"/>
    <w:rsid w:val="00DA4135"/>
    <w:rsid w:val="00DA4B1B"/>
    <w:rsid w:val="00DB1693"/>
    <w:rsid w:val="00DB1917"/>
    <w:rsid w:val="00DB3B8F"/>
    <w:rsid w:val="00DB451F"/>
    <w:rsid w:val="00DB5735"/>
    <w:rsid w:val="00DB60D2"/>
    <w:rsid w:val="00DB6B29"/>
    <w:rsid w:val="00DB6F76"/>
    <w:rsid w:val="00DC1118"/>
    <w:rsid w:val="00DD28FD"/>
    <w:rsid w:val="00DD4A6B"/>
    <w:rsid w:val="00DD503A"/>
    <w:rsid w:val="00DD61EA"/>
    <w:rsid w:val="00DE4F14"/>
    <w:rsid w:val="00DE5E62"/>
    <w:rsid w:val="00DE6F07"/>
    <w:rsid w:val="00DF1E33"/>
    <w:rsid w:val="00DF3514"/>
    <w:rsid w:val="00DF5F45"/>
    <w:rsid w:val="00DF6425"/>
    <w:rsid w:val="00DF6BCD"/>
    <w:rsid w:val="00E0076E"/>
    <w:rsid w:val="00E0171A"/>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045"/>
    <w:rsid w:val="00E5453F"/>
    <w:rsid w:val="00E54A14"/>
    <w:rsid w:val="00E55133"/>
    <w:rsid w:val="00E62058"/>
    <w:rsid w:val="00E631F4"/>
    <w:rsid w:val="00E63495"/>
    <w:rsid w:val="00E723FE"/>
    <w:rsid w:val="00E725D2"/>
    <w:rsid w:val="00E72A5E"/>
    <w:rsid w:val="00E73A86"/>
    <w:rsid w:val="00E80F34"/>
    <w:rsid w:val="00E857F9"/>
    <w:rsid w:val="00E86076"/>
    <w:rsid w:val="00E86DF8"/>
    <w:rsid w:val="00E91287"/>
    <w:rsid w:val="00E921CC"/>
    <w:rsid w:val="00E93362"/>
    <w:rsid w:val="00E939D6"/>
    <w:rsid w:val="00E93A96"/>
    <w:rsid w:val="00E97A3C"/>
    <w:rsid w:val="00EA0B96"/>
    <w:rsid w:val="00EA326A"/>
    <w:rsid w:val="00EA4CDC"/>
    <w:rsid w:val="00EA4FDC"/>
    <w:rsid w:val="00EA519D"/>
    <w:rsid w:val="00EA7933"/>
    <w:rsid w:val="00EB132B"/>
    <w:rsid w:val="00EB2261"/>
    <w:rsid w:val="00EB3E31"/>
    <w:rsid w:val="00EB769C"/>
    <w:rsid w:val="00EC3939"/>
    <w:rsid w:val="00EC4FEE"/>
    <w:rsid w:val="00ED2B4F"/>
    <w:rsid w:val="00ED5562"/>
    <w:rsid w:val="00ED770A"/>
    <w:rsid w:val="00EE1A85"/>
    <w:rsid w:val="00EE36EC"/>
    <w:rsid w:val="00EE3F7A"/>
    <w:rsid w:val="00EE57B7"/>
    <w:rsid w:val="00EF2331"/>
    <w:rsid w:val="00EF2381"/>
    <w:rsid w:val="00EF246A"/>
    <w:rsid w:val="00EF2955"/>
    <w:rsid w:val="00F00875"/>
    <w:rsid w:val="00F0324B"/>
    <w:rsid w:val="00F05428"/>
    <w:rsid w:val="00F06934"/>
    <w:rsid w:val="00F10E35"/>
    <w:rsid w:val="00F17119"/>
    <w:rsid w:val="00F178F7"/>
    <w:rsid w:val="00F17D52"/>
    <w:rsid w:val="00F22EA2"/>
    <w:rsid w:val="00F2589A"/>
    <w:rsid w:val="00F34544"/>
    <w:rsid w:val="00F404EF"/>
    <w:rsid w:val="00F41C1E"/>
    <w:rsid w:val="00F429BE"/>
    <w:rsid w:val="00F44769"/>
    <w:rsid w:val="00F452B8"/>
    <w:rsid w:val="00F45CF9"/>
    <w:rsid w:val="00F50A85"/>
    <w:rsid w:val="00F50DA5"/>
    <w:rsid w:val="00F53598"/>
    <w:rsid w:val="00F5378D"/>
    <w:rsid w:val="00F613E0"/>
    <w:rsid w:val="00F622F7"/>
    <w:rsid w:val="00F64797"/>
    <w:rsid w:val="00F64993"/>
    <w:rsid w:val="00F65636"/>
    <w:rsid w:val="00F6719B"/>
    <w:rsid w:val="00F73241"/>
    <w:rsid w:val="00F73C8F"/>
    <w:rsid w:val="00F75F6C"/>
    <w:rsid w:val="00F777C5"/>
    <w:rsid w:val="00F77A52"/>
    <w:rsid w:val="00F8142A"/>
    <w:rsid w:val="00F922D7"/>
    <w:rsid w:val="00F93ED4"/>
    <w:rsid w:val="00F94B5B"/>
    <w:rsid w:val="00F956F3"/>
    <w:rsid w:val="00F9784B"/>
    <w:rsid w:val="00F97F79"/>
    <w:rsid w:val="00FA020F"/>
    <w:rsid w:val="00FA0EF6"/>
    <w:rsid w:val="00FA222A"/>
    <w:rsid w:val="00FA2E71"/>
    <w:rsid w:val="00FA7BEB"/>
    <w:rsid w:val="00FB4E71"/>
    <w:rsid w:val="00FB681D"/>
    <w:rsid w:val="00FC4334"/>
    <w:rsid w:val="00FC4DFF"/>
    <w:rsid w:val="00FC681F"/>
    <w:rsid w:val="00FC7EEE"/>
    <w:rsid w:val="00FD030E"/>
    <w:rsid w:val="00FD6BCE"/>
    <w:rsid w:val="00FE0E3A"/>
    <w:rsid w:val="00FE19C3"/>
    <w:rsid w:val="00FE3432"/>
    <w:rsid w:val="00FE3CE3"/>
    <w:rsid w:val="00FE48F7"/>
    <w:rsid w:val="00FE4DEA"/>
    <w:rsid w:val="00FE6679"/>
    <w:rsid w:val="00FE7B9C"/>
    <w:rsid w:val="00FF08E4"/>
    <w:rsid w:val="00FF40B2"/>
    <w:rsid w:val="00FF488E"/>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74464C"/>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link w:val="ListParagraphChar"/>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7A3494"/>
    <w:rPr>
      <w:color w:val="605E5C"/>
      <w:shd w:val="clear" w:color="auto" w:fill="E1DFDD"/>
    </w:rPr>
  </w:style>
  <w:style w:type="paragraph" w:styleId="BodyText2">
    <w:name w:val="Body Text 2"/>
    <w:basedOn w:val="Normal"/>
    <w:link w:val="BodyText2Char"/>
    <w:semiHidden/>
    <w:unhideWhenUsed/>
    <w:rsid w:val="00E631F4"/>
    <w:pPr>
      <w:spacing w:after="120" w:line="480" w:lineRule="auto"/>
    </w:pPr>
  </w:style>
  <w:style w:type="character" w:customStyle="1" w:styleId="BodyText2Char">
    <w:name w:val="Body Text 2 Char"/>
    <w:basedOn w:val="DefaultParagraphFont"/>
    <w:link w:val="BodyText2"/>
    <w:semiHidden/>
    <w:rsid w:val="00E631F4"/>
    <w:rPr>
      <w:color w:val="262626"/>
      <w:sz w:val="22"/>
      <w:szCs w:val="22"/>
    </w:rPr>
  </w:style>
  <w:style w:type="character" w:customStyle="1" w:styleId="ListParagraphChar">
    <w:name w:val="List Paragraph Char"/>
    <w:basedOn w:val="DefaultParagraphFont"/>
    <w:link w:val="ListParagraph"/>
    <w:uiPriority w:val="34"/>
    <w:rsid w:val="004E60D4"/>
    <w:rPr>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922">
      <w:bodyDiv w:val="1"/>
      <w:marLeft w:val="0"/>
      <w:marRight w:val="0"/>
      <w:marTop w:val="0"/>
      <w:marBottom w:val="0"/>
      <w:divBdr>
        <w:top w:val="none" w:sz="0" w:space="0" w:color="auto"/>
        <w:left w:val="none" w:sz="0" w:space="0" w:color="auto"/>
        <w:bottom w:val="none" w:sz="0" w:space="0" w:color="auto"/>
        <w:right w:val="none" w:sz="0" w:space="0" w:color="auto"/>
      </w:divBdr>
    </w:div>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214128306">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07349058">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662612097">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33082022">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vf-users\Groups\LCME\LCME\Publications\Functions%20&amp;%20Structure\2026-27\lcme.org\glossar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cme@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E8A-102E-4294-B964-183777C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7272</Words>
  <Characters>43052</Characters>
  <Application>Microsoft Office Word</Application>
  <DocSecurity>0</DocSecurity>
  <Lines>1871</Lines>
  <Paragraphs>653</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49671</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Allyson Schneider</cp:lastModifiedBy>
  <cp:revision>2</cp:revision>
  <cp:lastPrinted>2025-02-25T14:51:00Z</cp:lastPrinted>
  <dcterms:created xsi:type="dcterms:W3CDTF">2025-04-09T13:20:00Z</dcterms:created>
  <dcterms:modified xsi:type="dcterms:W3CDTF">2025-04-09T13:20:00Z</dcterms:modified>
</cp:coreProperties>
</file>