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7D" w:rsidRDefault="00A5277D">
      <w:pPr>
        <w:jc w:val="center"/>
        <w:rPr>
          <w:rFonts w:ascii="Times New Roman" w:hAnsi="Times New Roman"/>
          <w:b/>
          <w:bCs/>
          <w:sz w:val="24"/>
          <w:szCs w:val="24"/>
        </w:rPr>
      </w:pPr>
      <w:bookmarkStart w:id="0" w:name="_GoBack"/>
      <w:bookmarkEnd w:id="0"/>
    </w:p>
    <w:p w:rsidR="00A5277D" w:rsidRDefault="00A5277D">
      <w:pPr>
        <w:jc w:val="center"/>
        <w:rPr>
          <w:rFonts w:ascii="Times New Roman" w:hAnsi="Times New Roman"/>
          <w:b/>
          <w:bCs/>
          <w:sz w:val="24"/>
          <w:szCs w:val="24"/>
        </w:rPr>
      </w:pPr>
    </w:p>
    <w:p w:rsidR="00B534C1" w:rsidRDefault="00B534C1" w:rsidP="00B534C1">
      <w:pPr>
        <w:jc w:val="center"/>
        <w:rPr>
          <w:i/>
          <w:iCs/>
        </w:rPr>
      </w:pPr>
    </w:p>
    <w:p w:rsidR="00B534C1" w:rsidRDefault="00B534C1" w:rsidP="00B534C1">
      <w:pPr>
        <w:jc w:val="center"/>
        <w:rPr>
          <w:i/>
          <w:iCs/>
        </w:rPr>
      </w:pPr>
    </w:p>
    <w:p w:rsidR="00B534C1" w:rsidRDefault="00B534C1" w:rsidP="00B534C1">
      <w:pPr>
        <w:jc w:val="center"/>
        <w:rPr>
          <w:i/>
          <w:iCs/>
        </w:rPr>
      </w:pPr>
    </w:p>
    <w:p w:rsidR="00B534C1" w:rsidRDefault="00B534C1" w:rsidP="00B534C1">
      <w:pPr>
        <w:jc w:val="center"/>
        <w:rPr>
          <w:i/>
          <w:iCs/>
        </w:rPr>
      </w:pPr>
    </w:p>
    <w:p w:rsidR="00B534C1" w:rsidRDefault="00B534C1" w:rsidP="00B534C1">
      <w:pPr>
        <w:jc w:val="center"/>
        <w:rPr>
          <w:i/>
          <w:iCs/>
        </w:rPr>
      </w:pPr>
    </w:p>
    <w:p w:rsidR="00B534C1" w:rsidRDefault="00B534C1" w:rsidP="00B534C1">
      <w:pPr>
        <w:jc w:val="both"/>
        <w:rPr>
          <w:rFonts w:ascii="Times New Roman" w:hAnsi="Times New Roman"/>
          <w:i/>
          <w:iCs/>
        </w:rPr>
      </w:pPr>
      <w:r>
        <w:rPr>
          <w:i/>
          <w:iCs/>
        </w:rPr>
        <w:t xml:space="preserve">The document that follows pertains to </w:t>
      </w:r>
      <w:r w:rsidR="005D6CD8">
        <w:rPr>
          <w:i/>
          <w:iCs/>
        </w:rPr>
        <w:t>E</w:t>
      </w:r>
      <w:r>
        <w:rPr>
          <w:i/>
          <w:iCs/>
        </w:rPr>
        <w:t>lement 3.3</w:t>
      </w:r>
      <w:r w:rsidR="000C1B9C" w:rsidRPr="000C1B9C">
        <w:rPr>
          <w:i/>
          <w:iCs/>
        </w:rPr>
        <w:t>, Diversity/Pipeline Programs and Partnerships</w:t>
      </w:r>
      <w:r w:rsidR="000C1B9C">
        <w:rPr>
          <w:i/>
          <w:iCs/>
        </w:rPr>
        <w:t>. It wa</w:t>
      </w:r>
      <w:r>
        <w:rPr>
          <w:i/>
          <w:iCs/>
        </w:rPr>
        <w:t xml:space="preserve">s </w:t>
      </w:r>
      <w:r w:rsidR="000C1B9C">
        <w:rPr>
          <w:i/>
          <w:iCs/>
        </w:rPr>
        <w:t>created by the LCME in</w:t>
      </w:r>
      <w:r>
        <w:rPr>
          <w:i/>
          <w:iCs/>
        </w:rPr>
        <w:t xml:space="preserve"> an effort to assist schools in understanding what the LCME considers </w:t>
      </w:r>
      <w:r w:rsidR="000C1B9C">
        <w:rPr>
          <w:i/>
          <w:iCs/>
        </w:rPr>
        <w:t xml:space="preserve">important when it makes judgments related </w:t>
      </w:r>
      <w:r>
        <w:rPr>
          <w:i/>
          <w:iCs/>
        </w:rPr>
        <w:t>to diversity in the learning environment.  This information is provided as a guide for those who are working in this important area. It is important to understand that</w:t>
      </w:r>
      <w:r w:rsidR="000C1B9C">
        <w:rPr>
          <w:i/>
          <w:iCs/>
        </w:rPr>
        <w:t xml:space="preserve">, like all accreditation issues, there will be evolution </w:t>
      </w:r>
      <w:r>
        <w:rPr>
          <w:i/>
          <w:iCs/>
        </w:rPr>
        <w:t xml:space="preserve">over time, and that these guidelines should be taken as just that - guidelines.  The LCME retains the ability to make individual judgments related to this and all </w:t>
      </w:r>
      <w:r w:rsidR="000C1B9C">
        <w:rPr>
          <w:i/>
          <w:iCs/>
        </w:rPr>
        <w:t xml:space="preserve">standards and elements </w:t>
      </w:r>
      <w:r>
        <w:rPr>
          <w:i/>
          <w:iCs/>
        </w:rPr>
        <w:t xml:space="preserve">in the full context of the </w:t>
      </w:r>
      <w:r w:rsidRPr="006121BC">
        <w:rPr>
          <w:i/>
          <w:iCs/>
        </w:rPr>
        <w:t>medical education program leading to the MD</w:t>
      </w:r>
      <w:r>
        <w:rPr>
          <w:i/>
          <w:iCs/>
        </w:rPr>
        <w:t xml:space="preserve"> degree.</w:t>
      </w:r>
    </w:p>
    <w:p w:rsidR="00B534C1" w:rsidRDefault="00B534C1">
      <w:pPr>
        <w:spacing w:after="160" w:line="259" w:lineRule="auto"/>
        <w:rPr>
          <w:rFonts w:ascii="Times New Roman" w:hAnsi="Times New Roman"/>
          <w:b/>
          <w:bCs/>
          <w:sz w:val="24"/>
          <w:szCs w:val="24"/>
        </w:rPr>
      </w:pPr>
    </w:p>
    <w:p w:rsidR="00B534C1" w:rsidRDefault="00B534C1">
      <w:pPr>
        <w:spacing w:after="160" w:line="259" w:lineRule="auto"/>
        <w:rPr>
          <w:rFonts w:ascii="Times New Roman" w:hAnsi="Times New Roman"/>
          <w:b/>
          <w:bCs/>
          <w:sz w:val="24"/>
          <w:szCs w:val="24"/>
        </w:rPr>
      </w:pPr>
      <w:r>
        <w:rPr>
          <w:rFonts w:ascii="Times New Roman" w:hAnsi="Times New Roman"/>
          <w:b/>
          <w:bCs/>
          <w:sz w:val="24"/>
          <w:szCs w:val="24"/>
        </w:rPr>
        <w:br w:type="page"/>
      </w:r>
    </w:p>
    <w:p w:rsidR="00A5277D" w:rsidRDefault="008E29F5">
      <w:pPr>
        <w:jc w:val="center"/>
        <w:rPr>
          <w:rFonts w:ascii="Times New Roman" w:hAnsi="Times New Roman"/>
          <w:b/>
          <w:bCs/>
          <w:sz w:val="24"/>
          <w:szCs w:val="24"/>
        </w:rPr>
      </w:pPr>
      <w:r>
        <w:rPr>
          <w:rFonts w:ascii="Times New Roman" w:hAnsi="Times New Roman"/>
          <w:b/>
          <w:bCs/>
          <w:sz w:val="24"/>
          <w:szCs w:val="24"/>
        </w:rPr>
        <w:t>LCME CONSENSUS STATEMENT RELATED TO SATISFACTION WITH</w:t>
      </w:r>
    </w:p>
    <w:p w:rsidR="00A5277D" w:rsidRDefault="008E29F5">
      <w:pPr>
        <w:jc w:val="center"/>
        <w:rPr>
          <w:rFonts w:ascii="Times New Roman" w:hAnsi="Times New Roman"/>
          <w:b/>
          <w:bCs/>
          <w:sz w:val="24"/>
          <w:szCs w:val="24"/>
        </w:rPr>
      </w:pPr>
      <w:r>
        <w:rPr>
          <w:rFonts w:ascii="Times New Roman" w:hAnsi="Times New Roman"/>
          <w:b/>
          <w:bCs/>
          <w:sz w:val="24"/>
          <w:szCs w:val="24"/>
        </w:rPr>
        <w:t>ELEMENT 3.3, DIVERSITY/PIPELINE PROGRAMS AND PARTNERSHIPS</w:t>
      </w:r>
    </w:p>
    <w:p w:rsidR="00A5277D" w:rsidRDefault="008E29F5">
      <w:pPr>
        <w:jc w:val="center"/>
        <w:rPr>
          <w:rFonts w:ascii="Times New Roman" w:hAnsi="Times New Roman"/>
          <w:b/>
          <w:bCs/>
          <w:sz w:val="24"/>
          <w:szCs w:val="24"/>
        </w:rPr>
      </w:pPr>
      <w:r>
        <w:rPr>
          <w:rFonts w:ascii="Times New Roman" w:hAnsi="Times New Roman"/>
          <w:b/>
          <w:bCs/>
          <w:sz w:val="24"/>
          <w:szCs w:val="24"/>
        </w:rPr>
        <w:br/>
        <w:t>March 31, 2015</w:t>
      </w:r>
    </w:p>
    <w:p w:rsidR="00A5277D" w:rsidRDefault="00A5277D">
      <w:pPr>
        <w:rPr>
          <w:rFonts w:ascii="Times New Roman" w:hAnsi="Times New Roman"/>
          <w:bCs/>
          <w:sz w:val="24"/>
          <w:szCs w:val="24"/>
        </w:rPr>
      </w:pPr>
    </w:p>
    <w:p w:rsidR="00A5277D" w:rsidRDefault="008E29F5">
      <w:pPr>
        <w:rPr>
          <w:rFonts w:ascii="Times New Roman" w:hAnsi="Times New Roman"/>
          <w:bCs/>
          <w:sz w:val="24"/>
          <w:szCs w:val="24"/>
        </w:rPr>
      </w:pPr>
      <w:r>
        <w:rPr>
          <w:rFonts w:ascii="Times New Roman" w:hAnsi="Times New Roman"/>
          <w:bCs/>
          <w:sz w:val="24"/>
          <w:szCs w:val="24"/>
        </w:rPr>
        <w:t>A. Statement of Satisfactory</w:t>
      </w:r>
    </w:p>
    <w:p w:rsidR="00A5277D" w:rsidRDefault="008E29F5">
      <w:pPr>
        <w:rPr>
          <w:rFonts w:ascii="Times New Roman" w:hAnsi="Times New Roman"/>
          <w:bCs/>
          <w:sz w:val="24"/>
          <w:szCs w:val="24"/>
        </w:rPr>
      </w:pPr>
      <w:r>
        <w:rPr>
          <w:rFonts w:ascii="Times New Roman" w:hAnsi="Times New Roman"/>
          <w:bCs/>
          <w:sz w:val="24"/>
          <w:szCs w:val="24"/>
        </w:rPr>
        <w:t>Medical education programs will be found to be satisfactory with</w:t>
      </w:r>
      <w:r w:rsidR="002D6E47">
        <w:rPr>
          <w:rFonts w:ascii="Times New Roman" w:hAnsi="Times New Roman"/>
          <w:bCs/>
          <w:sz w:val="24"/>
          <w:szCs w:val="24"/>
        </w:rPr>
        <w:t xml:space="preserve"> </w:t>
      </w:r>
      <w:r w:rsidR="005D6CD8">
        <w:rPr>
          <w:rFonts w:ascii="Times New Roman" w:hAnsi="Times New Roman"/>
          <w:bCs/>
          <w:sz w:val="24"/>
          <w:szCs w:val="24"/>
        </w:rPr>
        <w:t>E</w:t>
      </w:r>
      <w:r w:rsidR="002D6E47">
        <w:rPr>
          <w:rFonts w:ascii="Times New Roman" w:hAnsi="Times New Roman"/>
          <w:bCs/>
          <w:sz w:val="24"/>
          <w:szCs w:val="24"/>
        </w:rPr>
        <w:t>lement</w:t>
      </w:r>
      <w:r>
        <w:rPr>
          <w:rFonts w:ascii="Times New Roman" w:hAnsi="Times New Roman"/>
          <w:bCs/>
          <w:sz w:val="24"/>
          <w:szCs w:val="24"/>
        </w:rPr>
        <w:t xml:space="preserve"> 3.3 when they have all of the following: </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A mission-appropriate diversity policy with identification of diversity groups for students, faculty and senior administrative staff.</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 xml:space="preserve">Ongoing systematic recruitment and retention activities, e.g. pipeline programs and partnerships, to achieve mission-appropriate diversity outcomes in its students, faculty and senior administrative staff. </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Methods to evaluate the effectiveness of activities to achieve the mission-appropriate diversity outcomes.</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Evidence of effectiveness of the diversity efforts, including offers made and numbers reflecting progress in achieving mission-appropriate diversity outcomes. Evaluation of the sufficiency of the numbers may consider the context of the institution, reasonable timelines for achieving measurable mission-appropriate diversity outcomes, and other supporting data indicative of success in achieving mission-appropriate diversity outcomes.</w:t>
      </w:r>
    </w:p>
    <w:p w:rsidR="00A5277D" w:rsidRDefault="00A5277D">
      <w:pPr>
        <w:rPr>
          <w:rFonts w:ascii="Times New Roman" w:hAnsi="Times New Roman"/>
          <w:bCs/>
          <w:sz w:val="24"/>
          <w:szCs w:val="24"/>
        </w:rPr>
      </w:pPr>
    </w:p>
    <w:p w:rsidR="00A5277D" w:rsidRDefault="008E29F5">
      <w:pPr>
        <w:rPr>
          <w:rFonts w:ascii="Times New Roman" w:hAnsi="Times New Roman"/>
          <w:bCs/>
          <w:sz w:val="24"/>
          <w:szCs w:val="24"/>
        </w:rPr>
      </w:pPr>
      <w:r>
        <w:rPr>
          <w:rFonts w:ascii="Times New Roman" w:hAnsi="Times New Roman"/>
          <w:bCs/>
          <w:sz w:val="24"/>
          <w:szCs w:val="24"/>
        </w:rPr>
        <w:t xml:space="preserve">B. Statement of Satisfactory with a Need for Monitoring </w:t>
      </w:r>
    </w:p>
    <w:p w:rsidR="00A5277D" w:rsidRDefault="008E29F5">
      <w:pPr>
        <w:rPr>
          <w:rFonts w:ascii="Times New Roman" w:hAnsi="Times New Roman"/>
          <w:bCs/>
          <w:sz w:val="24"/>
          <w:szCs w:val="24"/>
        </w:rPr>
      </w:pPr>
      <w:r>
        <w:rPr>
          <w:rFonts w:ascii="Times New Roman" w:hAnsi="Times New Roman"/>
          <w:bCs/>
          <w:sz w:val="24"/>
          <w:szCs w:val="24"/>
        </w:rPr>
        <w:t>Medical education programs will be found to be satisfactory with a need for monitoring with</w:t>
      </w:r>
      <w:r w:rsidR="005D6CD8">
        <w:rPr>
          <w:rFonts w:ascii="Times New Roman" w:hAnsi="Times New Roman"/>
          <w:bCs/>
          <w:sz w:val="24"/>
          <w:szCs w:val="24"/>
        </w:rPr>
        <w:t xml:space="preserve"> E</w:t>
      </w:r>
      <w:r w:rsidR="002D6E47">
        <w:rPr>
          <w:rFonts w:ascii="Times New Roman" w:hAnsi="Times New Roman"/>
          <w:bCs/>
          <w:sz w:val="24"/>
          <w:szCs w:val="24"/>
        </w:rPr>
        <w:t>lement</w:t>
      </w:r>
      <w:r>
        <w:rPr>
          <w:rFonts w:ascii="Times New Roman" w:hAnsi="Times New Roman"/>
          <w:bCs/>
          <w:sz w:val="24"/>
          <w:szCs w:val="24"/>
        </w:rPr>
        <w:t xml:space="preserve"> 3.3 when they have satisfactory findings for most areas listed in section A above, but may have one or more of the following:</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 xml:space="preserve">Appropriate policies and/or activities so recent as to not yet have demonstrable results.  </w:t>
      </w:r>
    </w:p>
    <w:p w:rsidR="00A5277D" w:rsidRDefault="008E29F5">
      <w:pPr>
        <w:numPr>
          <w:ilvl w:val="0"/>
          <w:numId w:val="3"/>
        </w:numPr>
        <w:rPr>
          <w:rFonts w:ascii="Times New Roman" w:hAnsi="Times New Roman"/>
          <w:bCs/>
          <w:sz w:val="24"/>
          <w:szCs w:val="24"/>
        </w:rPr>
      </w:pPr>
      <w:r>
        <w:rPr>
          <w:rFonts w:ascii="Times New Roman" w:hAnsi="Times New Roman"/>
          <w:bCs/>
          <w:sz w:val="24"/>
          <w:szCs w:val="24"/>
        </w:rPr>
        <w:t xml:space="preserve">Evidence of effectiveness in recruiting and retaining identified diversity groups for students, faculty, and senior administrative staff including offers made and numbers reflecting early progress. Monitoring is necessary to assess the longer-term effectiveness of practices.  </w:t>
      </w:r>
    </w:p>
    <w:p w:rsidR="00A5277D" w:rsidRDefault="00A5277D">
      <w:pPr>
        <w:ind w:left="720"/>
        <w:rPr>
          <w:rFonts w:ascii="Times New Roman" w:hAnsi="Times New Roman"/>
          <w:bCs/>
          <w:sz w:val="24"/>
          <w:szCs w:val="24"/>
        </w:rPr>
      </w:pPr>
    </w:p>
    <w:p w:rsidR="00A5277D" w:rsidRDefault="008E29F5">
      <w:pPr>
        <w:rPr>
          <w:rFonts w:ascii="Times New Roman" w:hAnsi="Times New Roman"/>
          <w:bCs/>
          <w:sz w:val="24"/>
          <w:szCs w:val="24"/>
        </w:rPr>
      </w:pPr>
      <w:r>
        <w:rPr>
          <w:rFonts w:ascii="Times New Roman" w:hAnsi="Times New Roman"/>
          <w:bCs/>
          <w:sz w:val="24"/>
          <w:szCs w:val="24"/>
        </w:rPr>
        <w:t xml:space="preserve">C. Statement of Unsatisfactory </w:t>
      </w:r>
    </w:p>
    <w:p w:rsidR="00A5277D" w:rsidRDefault="008E29F5">
      <w:pPr>
        <w:rPr>
          <w:rFonts w:ascii="Times New Roman" w:hAnsi="Times New Roman"/>
          <w:bCs/>
          <w:sz w:val="24"/>
          <w:szCs w:val="24"/>
        </w:rPr>
      </w:pPr>
      <w:r>
        <w:rPr>
          <w:rFonts w:ascii="Times New Roman" w:hAnsi="Times New Roman"/>
          <w:bCs/>
          <w:sz w:val="24"/>
          <w:szCs w:val="24"/>
        </w:rPr>
        <w:t xml:space="preserve">Medical education programs will be found to be unsatisfactory with </w:t>
      </w:r>
      <w:r w:rsidR="005D6CD8">
        <w:rPr>
          <w:rFonts w:ascii="Times New Roman" w:hAnsi="Times New Roman"/>
          <w:bCs/>
          <w:sz w:val="24"/>
          <w:szCs w:val="24"/>
        </w:rPr>
        <w:t>E</w:t>
      </w:r>
      <w:r w:rsidR="002D6E47">
        <w:rPr>
          <w:rFonts w:ascii="Times New Roman" w:hAnsi="Times New Roman"/>
          <w:bCs/>
          <w:sz w:val="24"/>
          <w:szCs w:val="24"/>
        </w:rPr>
        <w:t xml:space="preserve">lement </w:t>
      </w:r>
      <w:r>
        <w:rPr>
          <w:rFonts w:ascii="Times New Roman" w:hAnsi="Times New Roman"/>
          <w:bCs/>
          <w:sz w:val="24"/>
          <w:szCs w:val="24"/>
        </w:rPr>
        <w:t xml:space="preserve">3.3 when they </w:t>
      </w:r>
      <w:r>
        <w:rPr>
          <w:rFonts w:ascii="Times New Roman" w:hAnsi="Times New Roman"/>
          <w:bCs/>
          <w:sz w:val="24"/>
          <w:szCs w:val="24"/>
          <w:u w:val="single"/>
        </w:rPr>
        <w:t>LACK one or more of the following</w:t>
      </w:r>
      <w:r>
        <w:rPr>
          <w:rFonts w:ascii="Times New Roman" w:hAnsi="Times New Roman"/>
          <w:bCs/>
          <w:sz w:val="24"/>
          <w:szCs w:val="24"/>
        </w:rPr>
        <w:t>:</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 xml:space="preserve">A mission-appropriate diversity policy with identification of diversity groups for students, faculty and senior administrative staff. </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 xml:space="preserve">Ongoing systematic recruitment and retention activities, e.g. pipeline programs and partnerships, to achieve mission-appropriate diversity outcomes in its students, faculty and senior administrative staff. </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Methods to evaluate the effectiveness of activities to achieve the mission-appropriate diversity outcomes.</w:t>
      </w:r>
    </w:p>
    <w:p w:rsidR="00A5277D" w:rsidRDefault="008E29F5">
      <w:pPr>
        <w:numPr>
          <w:ilvl w:val="0"/>
          <w:numId w:val="5"/>
        </w:numPr>
        <w:rPr>
          <w:rFonts w:ascii="Times New Roman" w:hAnsi="Times New Roman"/>
          <w:bCs/>
          <w:sz w:val="24"/>
          <w:szCs w:val="24"/>
        </w:rPr>
      </w:pPr>
      <w:r>
        <w:rPr>
          <w:rFonts w:ascii="Times New Roman" w:hAnsi="Times New Roman"/>
          <w:bCs/>
          <w:sz w:val="24"/>
          <w:szCs w:val="24"/>
        </w:rPr>
        <w:t xml:space="preserve">Evidence of effective recruitment and retention programs including the offering and acceptance of positions to qualified student, faculty, and staff applicants who are in the school’s diversity groups.  </w:t>
      </w:r>
    </w:p>
    <w:p w:rsidR="00A5277D" w:rsidRDefault="008E29F5">
      <w:pPr>
        <w:numPr>
          <w:ilvl w:val="0"/>
          <w:numId w:val="5"/>
        </w:numPr>
      </w:pPr>
      <w:r>
        <w:rPr>
          <w:rFonts w:ascii="Times New Roman" w:hAnsi="Times New Roman"/>
          <w:bCs/>
          <w:sz w:val="24"/>
          <w:szCs w:val="24"/>
        </w:rPr>
        <w:t xml:space="preserve">Sufficient progress toward attaining the numbers of students, faculty, and senior administrative staff from the school’s diversity groups to meet its mission-appropriate diversity outcomes.  </w:t>
      </w:r>
    </w:p>
    <w:p w:rsidR="00A5277D" w:rsidRDefault="00A5277D">
      <w:pPr>
        <w:rPr>
          <w:rFonts w:ascii="Times New Roman" w:hAnsi="Times New Roman"/>
          <w:bCs/>
          <w:sz w:val="24"/>
          <w:szCs w:val="24"/>
        </w:rPr>
      </w:pPr>
    </w:p>
    <w:sectPr w:rsidR="00A5277D">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47" w:rsidRDefault="00E74347">
      <w:r>
        <w:separator/>
      </w:r>
    </w:p>
  </w:endnote>
  <w:endnote w:type="continuationSeparator" w:id="0">
    <w:p w:rsidR="00E74347" w:rsidRDefault="00E7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47" w:rsidRDefault="00E74347">
      <w:r>
        <w:separator/>
      </w:r>
    </w:p>
  </w:footnote>
  <w:footnote w:type="continuationSeparator" w:id="0">
    <w:p w:rsidR="00E74347" w:rsidRDefault="00E7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5D2"/>
    <w:multiLevelType w:val="hybridMultilevel"/>
    <w:tmpl w:val="F56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09E"/>
    <w:multiLevelType w:val="hybridMultilevel"/>
    <w:tmpl w:val="3E8C10E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2" w15:restartNumberingAfterBreak="0">
    <w:nsid w:val="1F391405"/>
    <w:multiLevelType w:val="hybridMultilevel"/>
    <w:tmpl w:val="60CE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077329"/>
    <w:multiLevelType w:val="hybridMultilevel"/>
    <w:tmpl w:val="9AA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82F46"/>
    <w:multiLevelType w:val="hybridMultilevel"/>
    <w:tmpl w:val="93FE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F658FD"/>
    <w:multiLevelType w:val="hybridMultilevel"/>
    <w:tmpl w:val="5BC6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A01BC"/>
    <w:multiLevelType w:val="hybridMultilevel"/>
    <w:tmpl w:val="6212DC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D"/>
    <w:rsid w:val="000C1B9C"/>
    <w:rsid w:val="00211A4E"/>
    <w:rsid w:val="002D6E47"/>
    <w:rsid w:val="003D0095"/>
    <w:rsid w:val="005D6CD8"/>
    <w:rsid w:val="00864D69"/>
    <w:rsid w:val="008E29F5"/>
    <w:rsid w:val="00A5277D"/>
    <w:rsid w:val="00AE2208"/>
    <w:rsid w:val="00B534C1"/>
    <w:rsid w:val="00E7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594970-6DD7-4ABC-9CD3-3F87D996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NoSpacingChar">
    <w:name w:val="No Spacing Char"/>
    <w:aliases w:val="Title 1 Char"/>
    <w:link w:val="NoSpacing"/>
    <w:uiPriority w:val="1"/>
    <w:locked/>
    <w:rPr>
      <w:rFonts w:ascii="Segoe UI" w:eastAsia="Times New Roman" w:hAnsi="Segoe UI" w:cs="Times New Roman"/>
      <w:sz w:val="20"/>
      <w:szCs w:val="20"/>
    </w:rPr>
  </w:style>
  <w:style w:type="paragraph" w:styleId="NoSpacing">
    <w:name w:val="No Spacing"/>
    <w:aliases w:val="Title 1"/>
    <w:link w:val="NoSpacingChar"/>
    <w:uiPriority w:val="1"/>
    <w:qFormat/>
    <w:pPr>
      <w:widowControl w:val="0"/>
      <w:snapToGrid w:val="0"/>
    </w:pPr>
    <w:rPr>
      <w:rFonts w:ascii="Segoe UI" w:eastAsia="Times New Roman" w:hAnsi="Segoe U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Calibri" w:hAnsi="Calibri" w:cs="Times New Roman"/>
    </w:rPr>
  </w:style>
  <w:style w:type="paragraph" w:customStyle="1" w:styleId="LightGrid-Accent31">
    <w:name w:val="Light Grid - Accent 31"/>
    <w:basedOn w:val="Normal"/>
    <w:uiPriority w:val="1"/>
    <w:qFormat/>
    <w:pPr>
      <w:framePr w:hSpace="180" w:wrap="around" w:vAnchor="text" w:hAnchor="margin" w:y="186"/>
    </w:pPr>
    <w:rPr>
      <w:rFonts w:ascii="Segoe UI" w:eastAsia="MS Mincho" w:hAnsi="Segoe UI" w:cs="Segoe UI"/>
      <w:sz w:val="20"/>
      <w:szCs w:val="20"/>
    </w:rPr>
  </w:style>
  <w:style w:type="character" w:styleId="CommentReference">
    <w:name w:val="annotation reference"/>
    <w:uiPriority w:val="99"/>
    <w:semiHidden/>
    <w:unhideWhenUsed/>
    <w:rsid w:val="00B534C1"/>
    <w:rPr>
      <w:sz w:val="16"/>
      <w:szCs w:val="16"/>
    </w:rPr>
  </w:style>
  <w:style w:type="paragraph" w:styleId="CommentText">
    <w:name w:val="annotation text"/>
    <w:basedOn w:val="Normal"/>
    <w:link w:val="CommentTextChar"/>
    <w:uiPriority w:val="99"/>
    <w:semiHidden/>
    <w:unhideWhenUsed/>
    <w:rsid w:val="00B534C1"/>
    <w:rPr>
      <w:sz w:val="20"/>
      <w:szCs w:val="20"/>
    </w:rPr>
  </w:style>
  <w:style w:type="character" w:customStyle="1" w:styleId="CommentTextChar">
    <w:name w:val="Comment Text Char"/>
    <w:link w:val="CommentText"/>
    <w:uiPriority w:val="99"/>
    <w:semiHidden/>
    <w:rsid w:val="00B534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1B9C"/>
    <w:rPr>
      <w:b/>
      <w:bCs/>
    </w:rPr>
  </w:style>
  <w:style w:type="character" w:customStyle="1" w:styleId="CommentSubjectChar">
    <w:name w:val="Comment Subject Char"/>
    <w:link w:val="CommentSubject"/>
    <w:uiPriority w:val="99"/>
    <w:semiHidden/>
    <w:rsid w:val="000C1B9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98697">
      <w:bodyDiv w:val="1"/>
      <w:marLeft w:val="0"/>
      <w:marRight w:val="0"/>
      <w:marTop w:val="0"/>
      <w:marBottom w:val="0"/>
      <w:divBdr>
        <w:top w:val="none" w:sz="0" w:space="0" w:color="auto"/>
        <w:left w:val="none" w:sz="0" w:space="0" w:color="auto"/>
        <w:bottom w:val="none" w:sz="0" w:space="0" w:color="auto"/>
        <w:right w:val="none" w:sz="0" w:space="0" w:color="auto"/>
      </w:divBdr>
    </w:div>
    <w:div w:id="1084840661">
      <w:bodyDiv w:val="1"/>
      <w:marLeft w:val="0"/>
      <w:marRight w:val="0"/>
      <w:marTop w:val="0"/>
      <w:marBottom w:val="0"/>
      <w:divBdr>
        <w:top w:val="none" w:sz="0" w:space="0" w:color="auto"/>
        <w:left w:val="none" w:sz="0" w:space="0" w:color="auto"/>
        <w:bottom w:val="none" w:sz="0" w:space="0" w:color="auto"/>
        <w:right w:val="none" w:sz="0" w:space="0" w:color="auto"/>
      </w:divBdr>
    </w:div>
    <w:div w:id="1653489173">
      <w:bodyDiv w:val="1"/>
      <w:marLeft w:val="0"/>
      <w:marRight w:val="0"/>
      <w:marTop w:val="0"/>
      <w:marBottom w:val="0"/>
      <w:divBdr>
        <w:top w:val="none" w:sz="0" w:space="0" w:color="auto"/>
        <w:left w:val="none" w:sz="0" w:space="0" w:color="auto"/>
        <w:bottom w:val="none" w:sz="0" w:space="0" w:color="auto"/>
        <w:right w:val="none" w:sz="0" w:space="0" w:color="auto"/>
      </w:divBdr>
    </w:div>
    <w:div w:id="1792088415">
      <w:bodyDiv w:val="1"/>
      <w:marLeft w:val="0"/>
      <w:marRight w:val="0"/>
      <w:marTop w:val="0"/>
      <w:marBottom w:val="0"/>
      <w:divBdr>
        <w:top w:val="none" w:sz="0" w:space="0" w:color="auto"/>
        <w:left w:val="none" w:sz="0" w:space="0" w:color="auto"/>
        <w:bottom w:val="none" w:sz="0" w:space="0" w:color="auto"/>
        <w:right w:val="none" w:sz="0" w:space="0" w:color="auto"/>
      </w:divBdr>
    </w:div>
    <w:div w:id="17964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Waechter</dc:creator>
  <cp:keywords/>
  <dc:description/>
  <cp:lastModifiedBy>Caitlin Reicks</cp:lastModifiedBy>
  <cp:revision>2</cp:revision>
  <cp:lastPrinted>2015-03-31T17:41:00Z</cp:lastPrinted>
  <dcterms:created xsi:type="dcterms:W3CDTF">2015-11-23T16:53:00Z</dcterms:created>
  <dcterms:modified xsi:type="dcterms:W3CDTF">2015-11-23T16:53:00Z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-154534405</vt:i4>
  </property>
  <property fmtid="{D5CDD505-2E9C-101B-9397-08002B2CF9AE}" pid="3" name="_NewReviewCycle">
    <vt:lpwstr/>
  </property>
  <property fmtid="{D5CDD505-2E9C-101B-9397-08002B2CF9AE}" pid="4" name="_EmailSubject">
    <vt:lpwstr>Current draft of the introduction to the white paper related to 3.3 Diversity.  This will go on the website with the one page that is attached. </vt:lpwstr>
  </property>
  <property fmtid="{D5CDD505-2E9C-101B-9397-08002B2CF9AE}" pid="5" name="_AuthorEmail">
    <vt:lpwstr>lfleisher@sidley.com</vt:lpwstr>
  </property>
  <property fmtid="{D5CDD505-2E9C-101B-9397-08002B2CF9AE}" pid="6" name="_AuthorEmailDisplayName">
    <vt:lpwstr>Fleisher, Lynn D.</vt:lpwstr>
  </property>
  <property fmtid="{D5CDD505-2E9C-101B-9397-08002B2CF9AE}" pid="7" name="_ReviewingToolsShownOnce">
    <vt:lpwstr/>
  </property>
</Properties>
</file>